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BB624" w14:textId="7AFB1404" w:rsidR="009431F0" w:rsidRPr="0080472E" w:rsidRDefault="002C2137" w:rsidP="009A527D">
      <w:pPr>
        <w:pBdr>
          <w:top w:val="single" w:sz="4" w:space="1" w:color="auto"/>
          <w:left w:val="single" w:sz="4" w:space="4" w:color="auto"/>
          <w:bottom w:val="single" w:sz="4" w:space="1" w:color="auto"/>
          <w:right w:val="single" w:sz="4" w:space="4" w:color="auto"/>
        </w:pBdr>
        <w:jc w:val="center"/>
        <w:rPr>
          <w:rStyle w:val="ui-provider"/>
          <w:b/>
          <w:bCs/>
          <w:sz w:val="22"/>
          <w:szCs w:val="22"/>
        </w:rPr>
      </w:pPr>
      <w:r w:rsidRPr="00D1669F">
        <w:rPr>
          <w:rStyle w:val="ui-provider"/>
          <w:b/>
          <w:bCs/>
          <w:sz w:val="22"/>
          <w:szCs w:val="22"/>
        </w:rPr>
        <w:t xml:space="preserve">FAQ </w:t>
      </w:r>
      <w:r w:rsidR="001628A6" w:rsidRPr="00D1669F">
        <w:rPr>
          <w:rStyle w:val="ui-provider"/>
          <w:b/>
          <w:bCs/>
          <w:sz w:val="22"/>
          <w:szCs w:val="22"/>
        </w:rPr>
        <w:t>INFOSESSI</w:t>
      </w:r>
      <w:r w:rsidR="001628A6" w:rsidRPr="0080472E">
        <w:rPr>
          <w:rStyle w:val="ui-provider"/>
          <w:b/>
          <w:bCs/>
          <w:sz w:val="22"/>
          <w:szCs w:val="22"/>
        </w:rPr>
        <w:t>E – Anders Organiseren</w:t>
      </w:r>
    </w:p>
    <w:p w14:paraId="6DA8B270" w14:textId="5B1BD539" w:rsidR="001628A6" w:rsidRPr="0080472E" w:rsidRDefault="00692098" w:rsidP="009A527D">
      <w:pPr>
        <w:pBdr>
          <w:top w:val="single" w:sz="4" w:space="1" w:color="auto"/>
          <w:left w:val="single" w:sz="4" w:space="4" w:color="auto"/>
          <w:bottom w:val="single" w:sz="4" w:space="1" w:color="auto"/>
          <w:right w:val="single" w:sz="4" w:space="4" w:color="auto"/>
        </w:pBdr>
        <w:jc w:val="center"/>
        <w:rPr>
          <w:rStyle w:val="ui-provider"/>
          <w:sz w:val="22"/>
          <w:szCs w:val="22"/>
        </w:rPr>
      </w:pPr>
      <w:r w:rsidRPr="0080472E">
        <w:rPr>
          <w:rStyle w:val="ui-provider"/>
          <w:sz w:val="22"/>
          <w:szCs w:val="22"/>
        </w:rPr>
        <w:t xml:space="preserve">Update </w:t>
      </w:r>
      <w:r w:rsidR="00357B7A" w:rsidRPr="0080472E">
        <w:rPr>
          <w:rStyle w:val="ui-provider"/>
          <w:sz w:val="22"/>
          <w:szCs w:val="22"/>
        </w:rPr>
        <w:t>30</w:t>
      </w:r>
      <w:r w:rsidR="00C03FDA" w:rsidRPr="0080472E">
        <w:rPr>
          <w:rStyle w:val="ui-provider"/>
          <w:sz w:val="22"/>
          <w:szCs w:val="22"/>
        </w:rPr>
        <w:t>/0</w:t>
      </w:r>
      <w:r w:rsidR="00E5572A" w:rsidRPr="0080472E">
        <w:rPr>
          <w:rStyle w:val="ui-provider"/>
          <w:sz w:val="22"/>
          <w:szCs w:val="22"/>
        </w:rPr>
        <w:t>9</w:t>
      </w:r>
      <w:r w:rsidR="00C03FDA" w:rsidRPr="0080472E">
        <w:rPr>
          <w:rStyle w:val="ui-provider"/>
          <w:sz w:val="22"/>
          <w:szCs w:val="22"/>
        </w:rPr>
        <w:t>/</w:t>
      </w:r>
      <w:r w:rsidR="009A527D" w:rsidRPr="0080472E">
        <w:rPr>
          <w:rStyle w:val="ui-provider"/>
          <w:sz w:val="22"/>
          <w:szCs w:val="22"/>
        </w:rPr>
        <w:t>2024</w:t>
      </w:r>
    </w:p>
    <w:p w14:paraId="797F776E" w14:textId="77777777" w:rsidR="009431F0" w:rsidRPr="0080472E" w:rsidRDefault="009431F0" w:rsidP="00015168">
      <w:pPr>
        <w:rPr>
          <w:sz w:val="22"/>
          <w:szCs w:val="22"/>
        </w:rPr>
      </w:pPr>
    </w:p>
    <w:sdt>
      <w:sdtPr>
        <w:rPr>
          <w:rFonts w:asciiTheme="minorHAnsi" w:eastAsiaTheme="minorEastAsia" w:hAnsiTheme="minorHAnsi" w:cs="Times New Roman"/>
          <w:color w:val="auto"/>
          <w:kern w:val="2"/>
          <w:sz w:val="22"/>
          <w:szCs w:val="22"/>
          <w:lang w:val="nl-NL" w:eastAsia="en-US"/>
          <w14:ligatures w14:val="standardContextual"/>
        </w:rPr>
        <w:id w:val="808216157"/>
        <w:docPartObj>
          <w:docPartGallery w:val="Table of Contents"/>
          <w:docPartUnique/>
        </w:docPartObj>
      </w:sdtPr>
      <w:sdtEndPr>
        <w:rPr>
          <w:kern w:val="0"/>
          <w:lang w:val="nl-BE" w:eastAsia="nl-BE"/>
          <w14:ligatures w14:val="none"/>
        </w:rPr>
      </w:sdtEndPr>
      <w:sdtContent>
        <w:sdt>
          <w:sdtPr>
            <w:rPr>
              <w:rFonts w:asciiTheme="minorHAnsi" w:eastAsiaTheme="minorEastAsia" w:hAnsiTheme="minorHAnsi" w:cs="Times New Roman"/>
              <w:color w:val="auto"/>
              <w:kern w:val="2"/>
              <w:sz w:val="22"/>
              <w:szCs w:val="22"/>
              <w:lang w:val="nl-NL" w:eastAsia="en-US"/>
              <w14:ligatures w14:val="standardContextual"/>
            </w:rPr>
            <w:id w:val="-1699160731"/>
            <w:docPartObj>
              <w:docPartGallery w:val="Table of Contents"/>
              <w:docPartUnique/>
            </w:docPartObj>
          </w:sdtPr>
          <w:sdtEndPr>
            <w:rPr>
              <w:kern w:val="0"/>
              <w:lang w:val="nl-BE" w:eastAsia="nl-BE"/>
              <w14:ligatures w14:val="none"/>
            </w:rPr>
          </w:sdtEndPr>
          <w:sdtContent>
            <w:p w14:paraId="61FDB145" w14:textId="77777777" w:rsidR="0027297D" w:rsidRPr="0080472E" w:rsidRDefault="0027297D" w:rsidP="0027297D">
              <w:pPr>
                <w:pStyle w:val="Kopvaninhoudsopgave"/>
              </w:pPr>
              <w:r w:rsidRPr="0080472E">
                <w:rPr>
                  <w:lang w:val="nl-NL"/>
                </w:rPr>
                <w:t>Inhoudsopgave</w:t>
              </w:r>
            </w:p>
            <w:p w14:paraId="5C869355" w14:textId="77777777" w:rsidR="0027297D" w:rsidRPr="0080472E" w:rsidRDefault="0027297D" w:rsidP="0027297D">
              <w:pPr>
                <w:pStyle w:val="Inhopg1"/>
                <w:outlineLvl w:val="0"/>
              </w:pPr>
              <w:r w:rsidRPr="0080472E">
                <w:rPr>
                  <w:b/>
                  <w:bCs/>
                </w:rPr>
                <w:t>Criteria deelname</w:t>
              </w:r>
              <w:r w:rsidRPr="0080472E">
                <w:ptab w:relativeTo="margin" w:alignment="right" w:leader="dot"/>
              </w:r>
              <w:r w:rsidRPr="0080472E">
                <w:rPr>
                  <w:b/>
                  <w:bCs/>
                  <w:lang w:val="nl-NL"/>
                </w:rPr>
                <w:t>2</w:t>
              </w:r>
            </w:p>
            <w:p w14:paraId="31CF19F8" w14:textId="77777777" w:rsidR="0027297D" w:rsidRPr="0080472E" w:rsidRDefault="0027297D" w:rsidP="0027297D">
              <w:pPr>
                <w:pStyle w:val="Inhopg2"/>
                <w:ind w:left="216"/>
                <w:outlineLvl w:val="1"/>
                <w:rPr>
                  <w:lang w:val="nl-NL"/>
                </w:rPr>
              </w:pPr>
              <w:r w:rsidRPr="0080472E">
                <w:t>De Europese kmo-definitie als basisvoorwaarde</w:t>
              </w:r>
              <w:r w:rsidRPr="0080472E">
                <w:ptab w:relativeTo="margin" w:alignment="right" w:leader="dot"/>
              </w:r>
              <w:r w:rsidRPr="0080472E">
                <w:rPr>
                  <w:lang w:val="nl-NL"/>
                </w:rPr>
                <w:t>2</w:t>
              </w:r>
            </w:p>
            <w:p w14:paraId="7123FCC2" w14:textId="77777777" w:rsidR="0027297D" w:rsidRPr="0080472E" w:rsidRDefault="0027297D" w:rsidP="0027297D">
              <w:pPr>
                <w:pStyle w:val="Inhopg2"/>
                <w:ind w:left="216"/>
                <w:outlineLvl w:val="1"/>
                <w:rPr>
                  <w:lang w:val="nl-NL"/>
                </w:rPr>
              </w:pPr>
              <w:r w:rsidRPr="0080472E">
                <w:t>Gesubsidieerde organisaties en de kmo-definitie</w:t>
              </w:r>
              <w:r w:rsidRPr="0080472E">
                <w:ptab w:relativeTo="margin" w:alignment="right" w:leader="dot"/>
              </w:r>
              <w:r w:rsidRPr="0080472E">
                <w:rPr>
                  <w:lang w:val="nl-NL"/>
                </w:rPr>
                <w:t>3</w:t>
              </w:r>
            </w:p>
            <w:p w14:paraId="0CA48B20" w14:textId="77777777" w:rsidR="0027297D" w:rsidRPr="0080472E" w:rsidRDefault="0027297D" w:rsidP="0027297D">
              <w:pPr>
                <w:pStyle w:val="Inhopg2"/>
                <w:ind w:left="216"/>
                <w:outlineLvl w:val="1"/>
                <w:rPr>
                  <w:lang w:val="nl-NL"/>
                </w:rPr>
              </w:pPr>
              <w:r w:rsidRPr="0080472E">
                <w:t>Verbonden ondernemingen die samen voldoen aan kmo-definitie</w:t>
              </w:r>
              <w:r w:rsidRPr="0080472E">
                <w:ptab w:relativeTo="margin" w:alignment="right" w:leader="dot"/>
              </w:r>
              <w:r w:rsidRPr="0080472E">
                <w:rPr>
                  <w:lang w:val="nl-NL"/>
                </w:rPr>
                <w:t>3</w:t>
              </w:r>
            </w:p>
            <w:p w14:paraId="1F7A0CCA" w14:textId="77777777" w:rsidR="0027297D" w:rsidRPr="0080472E" w:rsidRDefault="0027297D" w:rsidP="0027297D">
              <w:pPr>
                <w:pStyle w:val="Inhopg2"/>
                <w:ind w:left="216"/>
                <w:outlineLvl w:val="1"/>
              </w:pPr>
              <w:r w:rsidRPr="0080472E">
                <w:t>Aantal werkzame personen &gt; 250 VTE</w:t>
              </w:r>
              <w:r w:rsidRPr="0080472E">
                <w:ptab w:relativeTo="margin" w:alignment="right" w:leader="dot"/>
              </w:r>
              <w:r w:rsidRPr="0080472E">
                <w:rPr>
                  <w:lang w:val="nl-NL"/>
                </w:rPr>
                <w:t>3</w:t>
              </w:r>
            </w:p>
            <w:p w14:paraId="284963C5" w14:textId="77777777" w:rsidR="0027297D" w:rsidRPr="0080472E" w:rsidRDefault="0027297D" w:rsidP="0027297D">
              <w:pPr>
                <w:pStyle w:val="Inhopg2"/>
                <w:ind w:left="216"/>
                <w:outlineLvl w:val="1"/>
              </w:pPr>
              <w:r w:rsidRPr="0080472E">
                <w:t xml:space="preserve">Vzw’s en woonzorgcentra </w:t>
              </w:r>
              <w:r w:rsidRPr="0080472E">
                <w:ptab w:relativeTo="margin" w:alignment="right" w:leader="dot"/>
              </w:r>
              <w:r w:rsidRPr="0080472E">
                <w:rPr>
                  <w:lang w:val="nl-NL"/>
                </w:rPr>
                <w:t>3</w:t>
              </w:r>
            </w:p>
            <w:p w14:paraId="228553DC" w14:textId="77777777" w:rsidR="0027297D" w:rsidRPr="0080472E" w:rsidRDefault="0027297D" w:rsidP="0027297D">
              <w:pPr>
                <w:pStyle w:val="Inhopg2"/>
                <w:ind w:left="216"/>
                <w:outlineLvl w:val="1"/>
              </w:pPr>
              <w:r w:rsidRPr="0080472E">
                <w:t xml:space="preserve">Gesubsidieerde organisatie door VAPH </w:t>
              </w:r>
              <w:r w:rsidRPr="0080472E">
                <w:ptab w:relativeTo="margin" w:alignment="right" w:leader="dot"/>
              </w:r>
              <w:r w:rsidRPr="0080472E">
                <w:rPr>
                  <w:lang w:val="nl-NL"/>
                </w:rPr>
                <w:t>3</w:t>
              </w:r>
              <w:r w:rsidRPr="0080472E">
                <w:t xml:space="preserve"> </w:t>
              </w:r>
            </w:p>
            <w:p w14:paraId="6FEEE9D9" w14:textId="77777777" w:rsidR="0027297D" w:rsidRPr="0080472E" w:rsidRDefault="0027297D" w:rsidP="0027297D">
              <w:pPr>
                <w:pStyle w:val="Inhopg2"/>
                <w:ind w:left="216"/>
                <w:outlineLvl w:val="1"/>
                <w:rPr>
                  <w:lang w:val="nl-NL"/>
                </w:rPr>
              </w:pPr>
              <w:r w:rsidRPr="0080472E">
                <w:t xml:space="preserve">Aantal projectmedewerkers </w:t>
              </w:r>
              <w:r w:rsidRPr="0080472E">
                <w:ptab w:relativeTo="margin" w:alignment="right" w:leader="dot"/>
              </w:r>
              <w:r w:rsidRPr="0080472E">
                <w:rPr>
                  <w:lang w:val="nl-NL"/>
                </w:rPr>
                <w:t>5</w:t>
              </w:r>
            </w:p>
            <w:p w14:paraId="3B8E1C40" w14:textId="77777777" w:rsidR="0027297D" w:rsidRPr="0080472E" w:rsidRDefault="0027297D" w:rsidP="0027297D">
              <w:pPr>
                <w:pStyle w:val="Inhopg2"/>
                <w:ind w:left="216"/>
                <w:outlineLvl w:val="1"/>
              </w:pPr>
              <w:r w:rsidRPr="0080472E">
                <w:t>AO in combinatie met andere subsidiemaatregelen</w:t>
              </w:r>
              <w:r w:rsidRPr="0080472E">
                <w:ptab w:relativeTo="margin" w:alignment="right" w:leader="dot"/>
              </w:r>
              <w:r w:rsidRPr="0080472E">
                <w:rPr>
                  <w:lang w:val="nl-NL"/>
                </w:rPr>
                <w:t>5</w:t>
              </w:r>
            </w:p>
            <w:p w14:paraId="55DE84D0" w14:textId="77777777" w:rsidR="0027297D" w:rsidRPr="0080472E" w:rsidRDefault="0027297D" w:rsidP="0027297D">
              <w:pPr>
                <w:pStyle w:val="Inhopg1"/>
                <w:outlineLvl w:val="0"/>
              </w:pPr>
              <w:r w:rsidRPr="0080472E">
                <w:rPr>
                  <w:b/>
                  <w:bCs/>
                </w:rPr>
                <w:t>Staatssteun</w:t>
              </w:r>
              <w:r w:rsidRPr="0080472E">
                <w:ptab w:relativeTo="margin" w:alignment="right" w:leader="dot"/>
              </w:r>
              <w:r w:rsidRPr="0080472E">
                <w:rPr>
                  <w:b/>
                  <w:bCs/>
                  <w:lang w:val="nl-NL"/>
                </w:rPr>
                <w:t>6</w:t>
              </w:r>
            </w:p>
            <w:p w14:paraId="5499F6EE" w14:textId="77777777" w:rsidR="0027297D" w:rsidRPr="0080472E" w:rsidRDefault="0027297D" w:rsidP="0027297D">
              <w:pPr>
                <w:pStyle w:val="Inhopg2"/>
                <w:ind w:left="216"/>
                <w:outlineLvl w:val="1"/>
              </w:pPr>
              <w:r w:rsidRPr="0080472E">
                <w:t xml:space="preserve">Hoe bedragen de-minimis </w:t>
              </w:r>
              <w:proofErr w:type="spellStart"/>
              <w:r w:rsidRPr="0080472E">
                <w:t>oplijsten</w:t>
              </w:r>
              <w:proofErr w:type="spellEnd"/>
              <w:r w:rsidRPr="0080472E">
                <w:t xml:space="preserve">? </w:t>
              </w:r>
              <w:r w:rsidRPr="0080472E">
                <w:ptab w:relativeTo="margin" w:alignment="right" w:leader="dot"/>
              </w:r>
              <w:r w:rsidRPr="0080472E">
                <w:rPr>
                  <w:lang w:val="nl-NL"/>
                </w:rPr>
                <w:t>6</w:t>
              </w:r>
            </w:p>
            <w:p w14:paraId="31A2DA5C" w14:textId="77777777" w:rsidR="0027297D" w:rsidRPr="0080472E" w:rsidRDefault="0027297D" w:rsidP="0027297D">
              <w:pPr>
                <w:pStyle w:val="Inhopg1"/>
                <w:outlineLvl w:val="0"/>
                <w:rPr>
                  <w:b/>
                  <w:bCs/>
                </w:rPr>
              </w:pPr>
              <w:r w:rsidRPr="0080472E">
                <w:rPr>
                  <w:b/>
                  <w:bCs/>
                </w:rPr>
                <w:t>Kwaliteits- en registratiemodel van dienstverleners binnen Werk en Sociale Economie</w:t>
              </w:r>
              <w:r w:rsidRPr="0080472E">
                <w:ptab w:relativeTo="margin" w:alignment="right" w:leader="dot"/>
              </w:r>
              <w:r w:rsidRPr="0080472E">
                <w:rPr>
                  <w:b/>
                  <w:bCs/>
                  <w:lang w:val="nl-NL"/>
                </w:rPr>
                <w:t>7</w:t>
              </w:r>
            </w:p>
            <w:p w14:paraId="4F9FC35A" w14:textId="77777777" w:rsidR="0027297D" w:rsidRPr="0080472E" w:rsidRDefault="0027297D" w:rsidP="0027297D">
              <w:pPr>
                <w:pStyle w:val="Inhopg2"/>
                <w:ind w:left="216"/>
                <w:outlineLvl w:val="1"/>
              </w:pPr>
              <w:r w:rsidRPr="0080472E">
                <w:t>Projectpersoneel via facturatie</w:t>
              </w:r>
              <w:r w:rsidRPr="0080472E">
                <w:ptab w:relativeTo="margin" w:alignment="right" w:leader="dot"/>
              </w:r>
              <w:r w:rsidRPr="0080472E">
                <w:rPr>
                  <w:lang w:val="nl-NL"/>
                </w:rPr>
                <w:t>7</w:t>
              </w:r>
            </w:p>
            <w:p w14:paraId="3F163BEC" w14:textId="77777777" w:rsidR="0027297D" w:rsidRPr="0080472E" w:rsidRDefault="0027297D" w:rsidP="0027297D">
              <w:pPr>
                <w:pStyle w:val="Inhopg2"/>
                <w:ind w:left="216"/>
                <w:outlineLvl w:val="1"/>
              </w:pPr>
              <w:r w:rsidRPr="0080472E">
                <w:t>Promotor</w:t>
              </w:r>
              <w:r w:rsidRPr="0080472E">
                <w:ptab w:relativeTo="margin" w:alignment="right" w:leader="dot"/>
              </w:r>
              <w:r w:rsidRPr="0080472E">
                <w:rPr>
                  <w:lang w:val="nl-NL"/>
                </w:rPr>
                <w:t>7</w:t>
              </w:r>
            </w:p>
            <w:p w14:paraId="5305999C" w14:textId="77777777" w:rsidR="0027297D" w:rsidRPr="0080472E" w:rsidRDefault="0027297D" w:rsidP="0027297D">
              <w:pPr>
                <w:pStyle w:val="Inhopg2"/>
                <w:ind w:left="216"/>
                <w:outlineLvl w:val="1"/>
                <w:rPr>
                  <w:lang w:val="nl-NL"/>
                </w:rPr>
              </w:pPr>
              <w:r w:rsidRPr="0080472E">
                <w:t>KMO-P erkenning</w:t>
              </w:r>
              <w:r w:rsidRPr="0080472E">
                <w:ptab w:relativeTo="margin" w:alignment="right" w:leader="dot"/>
              </w:r>
              <w:r w:rsidRPr="0080472E">
                <w:rPr>
                  <w:lang w:val="nl-NL"/>
                </w:rPr>
                <w:t>7</w:t>
              </w:r>
            </w:p>
            <w:p w14:paraId="18E2DD73" w14:textId="77777777" w:rsidR="0027297D" w:rsidRPr="0080472E" w:rsidRDefault="0027297D" w:rsidP="0027297D">
              <w:pPr>
                <w:pStyle w:val="Inhopg2"/>
                <w:ind w:left="216"/>
                <w:outlineLvl w:val="1"/>
                <w:rPr>
                  <w:lang w:val="nl-NL"/>
                </w:rPr>
              </w:pPr>
              <w:r w:rsidRPr="0080472E">
                <w:t xml:space="preserve">Lijst van erkende onderaannemers </w:t>
              </w:r>
              <w:r w:rsidRPr="0080472E">
                <w:ptab w:relativeTo="margin" w:alignment="right" w:leader="dot"/>
              </w:r>
              <w:r w:rsidRPr="0080472E">
                <w:rPr>
                  <w:lang w:val="nl-NL"/>
                </w:rPr>
                <w:t>7</w:t>
              </w:r>
            </w:p>
            <w:p w14:paraId="52564E35" w14:textId="77777777" w:rsidR="0027297D" w:rsidRPr="0080472E" w:rsidRDefault="0027297D" w:rsidP="0027297D">
              <w:pPr>
                <w:pStyle w:val="Inhopg2"/>
                <w:ind w:left="0"/>
                <w:outlineLvl w:val="0"/>
                <w:rPr>
                  <w:b/>
                  <w:bCs/>
                </w:rPr>
              </w:pPr>
              <w:r w:rsidRPr="0080472E">
                <w:rPr>
                  <w:b/>
                  <w:bCs/>
                </w:rPr>
                <w:t>Kosten en financiering</w:t>
              </w:r>
              <w:r w:rsidRPr="0080472E">
                <w:ptab w:relativeTo="margin" w:alignment="right" w:leader="dot"/>
              </w:r>
              <w:r w:rsidRPr="0080472E">
                <w:rPr>
                  <w:b/>
                  <w:bCs/>
                </w:rPr>
                <w:t>8</w:t>
              </w:r>
            </w:p>
            <w:p w14:paraId="54032164" w14:textId="77777777" w:rsidR="0027297D" w:rsidRPr="0080472E" w:rsidRDefault="0027297D" w:rsidP="0027297D">
              <w:pPr>
                <w:pStyle w:val="Inhopg2"/>
                <w:ind w:left="216"/>
                <w:outlineLvl w:val="1"/>
              </w:pPr>
              <w:r w:rsidRPr="0080472E">
                <w:t>Maximaal uurtarief voor ‘projectpersoneel via facturatie’</w:t>
              </w:r>
              <w:r w:rsidRPr="0080472E">
                <w:ptab w:relativeTo="margin" w:alignment="right" w:leader="dot"/>
              </w:r>
              <w:r w:rsidRPr="0080472E">
                <w:rPr>
                  <w:lang w:val="nl-NL"/>
                </w:rPr>
                <w:t>8</w:t>
              </w:r>
            </w:p>
            <w:p w14:paraId="1724E6E0" w14:textId="77777777" w:rsidR="0027297D" w:rsidRPr="0080472E" w:rsidRDefault="0027297D" w:rsidP="0027297D">
              <w:pPr>
                <w:pStyle w:val="Inhopg2"/>
                <w:ind w:left="216"/>
                <w:outlineLvl w:val="1"/>
              </w:pPr>
              <w:r w:rsidRPr="0080472E">
                <w:t>Zelfstandigen</w:t>
              </w:r>
              <w:r w:rsidRPr="0080472E">
                <w:ptab w:relativeTo="margin" w:alignment="right" w:leader="dot"/>
              </w:r>
              <w:r w:rsidRPr="0080472E">
                <w:rPr>
                  <w:lang w:val="nl-NL"/>
                </w:rPr>
                <w:t>8</w:t>
              </w:r>
            </w:p>
            <w:p w14:paraId="7DB9E847" w14:textId="77777777" w:rsidR="0027297D" w:rsidRPr="0080472E" w:rsidRDefault="0027297D" w:rsidP="0027297D">
              <w:pPr>
                <w:pStyle w:val="Inhopg2"/>
                <w:ind w:left="216"/>
                <w:outlineLvl w:val="1"/>
              </w:pPr>
              <w:r w:rsidRPr="0080472E">
                <w:t>Private cofinanciering</w:t>
              </w:r>
              <w:r w:rsidRPr="0080472E">
                <w:ptab w:relativeTo="margin" w:alignment="right" w:leader="dot"/>
              </w:r>
              <w:r w:rsidRPr="0080472E">
                <w:rPr>
                  <w:lang w:val="nl-NL"/>
                </w:rPr>
                <w:t>8</w:t>
              </w:r>
            </w:p>
            <w:p w14:paraId="6010E1E1" w14:textId="77777777" w:rsidR="0027297D" w:rsidRPr="0080472E" w:rsidRDefault="0027297D" w:rsidP="0027297D">
              <w:pPr>
                <w:pStyle w:val="Inhopg1"/>
                <w:outlineLvl w:val="0"/>
              </w:pPr>
              <w:r w:rsidRPr="0080472E">
                <w:rPr>
                  <w:b/>
                  <w:bCs/>
                </w:rPr>
                <w:t>Oproep</w:t>
              </w:r>
              <w:r w:rsidRPr="0080472E">
                <w:ptab w:relativeTo="margin" w:alignment="right" w:leader="dot"/>
              </w:r>
              <w:r w:rsidRPr="0080472E">
                <w:rPr>
                  <w:b/>
                  <w:bCs/>
                  <w:lang w:val="nl-NL"/>
                </w:rPr>
                <w:t>9</w:t>
              </w:r>
            </w:p>
            <w:p w14:paraId="02B658C6" w14:textId="77777777" w:rsidR="0027297D" w:rsidRPr="0080472E" w:rsidRDefault="0027297D" w:rsidP="0027297D">
              <w:pPr>
                <w:pStyle w:val="Inhopg2"/>
                <w:ind w:left="216"/>
                <w:outlineLvl w:val="1"/>
              </w:pPr>
              <w:r w:rsidRPr="0080472E">
                <w:t>Mogelijkheid tot herhaling oproep</w:t>
              </w:r>
              <w:r w:rsidRPr="0080472E">
                <w:ptab w:relativeTo="margin" w:alignment="right" w:leader="dot"/>
              </w:r>
              <w:r w:rsidRPr="0080472E">
                <w:rPr>
                  <w:lang w:val="nl-NL"/>
                </w:rPr>
                <w:t>9</w:t>
              </w:r>
            </w:p>
            <w:p w14:paraId="18510999" w14:textId="77777777" w:rsidR="0080472E" w:rsidRDefault="0027297D" w:rsidP="0080472E">
              <w:pPr>
                <w:pStyle w:val="Inhopg1"/>
                <w:outlineLvl w:val="0"/>
                <w:rPr>
                  <w:lang w:val="nl-NL"/>
                </w:rPr>
              </w:pPr>
              <w:r w:rsidRPr="0080472E">
                <w:rPr>
                  <w:b/>
                  <w:bCs/>
                </w:rPr>
                <w:t>PLATOS</w:t>
              </w:r>
              <w:r w:rsidRPr="0080472E">
                <w:ptab w:relativeTo="margin" w:alignment="right" w:leader="dot"/>
              </w:r>
              <w:r w:rsidRPr="0080472E">
                <w:rPr>
                  <w:b/>
                  <w:bCs/>
                  <w:lang w:val="nl-NL"/>
                </w:rPr>
                <w:t>10</w:t>
              </w:r>
            </w:p>
            <w:p w14:paraId="3BCEE001" w14:textId="00FC06B4" w:rsidR="005D4AF2" w:rsidRPr="0080472E" w:rsidRDefault="0080472E" w:rsidP="0080472E">
              <w:pPr>
                <w:pStyle w:val="Inhopg1"/>
                <w:outlineLvl w:val="0"/>
                <w:rPr>
                  <w:lang w:val="nl-NL"/>
                </w:rPr>
              </w:pPr>
              <w:r>
                <w:t xml:space="preserve">    </w:t>
              </w:r>
              <w:r w:rsidRPr="0080472E">
                <w:t>G</w:t>
              </w:r>
              <w:r w:rsidR="0027297D" w:rsidRPr="0080472E">
                <w:t>ebruikersrechten</w:t>
              </w:r>
              <w:r w:rsidRPr="0080472E">
                <w:ptab w:relativeTo="margin" w:alignment="right" w:leader="dot"/>
              </w:r>
              <w:r w:rsidR="0027297D" w:rsidRPr="0080472E">
                <w:t>10</w:t>
              </w:r>
            </w:p>
          </w:sdtContent>
        </w:sdt>
      </w:sdtContent>
    </w:sdt>
    <w:p w14:paraId="2C67CE76" w14:textId="77777777" w:rsidR="00713881" w:rsidRPr="0080472E" w:rsidRDefault="00713881" w:rsidP="00015168">
      <w:pPr>
        <w:rPr>
          <w:sz w:val="22"/>
          <w:szCs w:val="22"/>
        </w:rPr>
      </w:pPr>
    </w:p>
    <w:p w14:paraId="2BFB45FC" w14:textId="77777777" w:rsidR="00713881" w:rsidRDefault="00713881" w:rsidP="00015168">
      <w:pPr>
        <w:rPr>
          <w:sz w:val="22"/>
          <w:szCs w:val="22"/>
        </w:rPr>
      </w:pPr>
    </w:p>
    <w:p w14:paraId="76E5153B" w14:textId="77777777" w:rsidR="0080472E" w:rsidRDefault="0080472E" w:rsidP="00015168">
      <w:pPr>
        <w:rPr>
          <w:sz w:val="22"/>
          <w:szCs w:val="22"/>
        </w:rPr>
      </w:pPr>
    </w:p>
    <w:p w14:paraId="55DB5145" w14:textId="77777777" w:rsidR="0080472E" w:rsidRPr="0080472E" w:rsidRDefault="0080472E" w:rsidP="00015168">
      <w:pPr>
        <w:rPr>
          <w:sz w:val="22"/>
          <w:szCs w:val="22"/>
        </w:rPr>
      </w:pPr>
    </w:p>
    <w:p w14:paraId="0312B425" w14:textId="77777777" w:rsidR="00713881" w:rsidRPr="0080472E" w:rsidRDefault="00713881" w:rsidP="00015168">
      <w:pPr>
        <w:rPr>
          <w:sz w:val="22"/>
          <w:szCs w:val="22"/>
        </w:rPr>
      </w:pPr>
    </w:p>
    <w:p w14:paraId="6AB9B74C" w14:textId="40044140" w:rsidR="009A527D" w:rsidRPr="0080472E" w:rsidRDefault="009941D4" w:rsidP="006F41CC">
      <w:pPr>
        <w:pStyle w:val="Lijstalinea"/>
        <w:numPr>
          <w:ilvl w:val="0"/>
          <w:numId w:val="8"/>
        </w:numPr>
        <w:pBdr>
          <w:bottom w:val="single" w:sz="4" w:space="1" w:color="auto"/>
        </w:pBdr>
        <w:ind w:left="426" w:hanging="284"/>
        <w:rPr>
          <w:b/>
          <w:bCs/>
          <w:sz w:val="22"/>
          <w:szCs w:val="22"/>
        </w:rPr>
      </w:pPr>
      <w:r w:rsidRPr="0080472E">
        <w:rPr>
          <w:b/>
          <w:bCs/>
          <w:sz w:val="22"/>
          <w:szCs w:val="22"/>
        </w:rPr>
        <w:lastRenderedPageBreak/>
        <w:t>Criteria deelname</w:t>
      </w:r>
    </w:p>
    <w:p w14:paraId="7E61F535" w14:textId="77777777" w:rsidR="005A68DE" w:rsidRPr="0080472E" w:rsidRDefault="005A68DE" w:rsidP="005A68DE">
      <w:pPr>
        <w:pStyle w:val="Lijstalinea"/>
        <w:ind w:left="426"/>
        <w:jc w:val="both"/>
        <w:rPr>
          <w:rStyle w:val="ui-provider"/>
          <w:sz w:val="22"/>
          <w:szCs w:val="22"/>
        </w:rPr>
      </w:pPr>
    </w:p>
    <w:p w14:paraId="066C99D8" w14:textId="5C1EF85C" w:rsidR="00BB45C3" w:rsidRPr="0080472E" w:rsidRDefault="003C619F" w:rsidP="0071634A">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De Europese </w:t>
      </w:r>
      <w:r w:rsidR="007E4DF4" w:rsidRPr="0080472E">
        <w:rPr>
          <w:rStyle w:val="ui-provider"/>
          <w:sz w:val="22"/>
          <w:szCs w:val="22"/>
          <w:u w:val="single"/>
        </w:rPr>
        <w:t>kmo-</w:t>
      </w:r>
      <w:r w:rsidR="00BB45C3" w:rsidRPr="0080472E">
        <w:rPr>
          <w:rStyle w:val="ui-provider"/>
          <w:sz w:val="22"/>
          <w:szCs w:val="22"/>
          <w:u w:val="single"/>
        </w:rPr>
        <w:t>definitie</w:t>
      </w:r>
      <w:r w:rsidRPr="0080472E">
        <w:rPr>
          <w:rStyle w:val="ui-provider"/>
          <w:sz w:val="22"/>
          <w:szCs w:val="22"/>
          <w:u w:val="single"/>
        </w:rPr>
        <w:t xml:space="preserve"> i</w:t>
      </w:r>
      <w:r w:rsidR="00BB45C3" w:rsidRPr="0080472E">
        <w:rPr>
          <w:rStyle w:val="ui-provider"/>
          <w:sz w:val="22"/>
          <w:szCs w:val="22"/>
          <w:u w:val="single"/>
        </w:rPr>
        <w:t xml:space="preserve">s </w:t>
      </w:r>
      <w:r w:rsidRPr="0080472E">
        <w:rPr>
          <w:rStyle w:val="ui-provider"/>
          <w:sz w:val="22"/>
          <w:szCs w:val="22"/>
          <w:u w:val="single"/>
        </w:rPr>
        <w:t>een</w:t>
      </w:r>
      <w:r w:rsidR="00BB45C3" w:rsidRPr="0080472E">
        <w:rPr>
          <w:rStyle w:val="ui-provider"/>
          <w:sz w:val="22"/>
          <w:szCs w:val="22"/>
          <w:u w:val="single"/>
        </w:rPr>
        <w:t xml:space="preserve"> basisvoorwaarde</w:t>
      </w:r>
      <w:r w:rsidRPr="0080472E">
        <w:rPr>
          <w:rStyle w:val="ui-provider"/>
          <w:sz w:val="22"/>
          <w:szCs w:val="22"/>
          <w:u w:val="single"/>
        </w:rPr>
        <w:t xml:space="preserve"> om in aanmerking te komen voor de </w:t>
      </w:r>
      <w:r w:rsidR="00B054A8" w:rsidRPr="0080472E">
        <w:rPr>
          <w:rStyle w:val="ui-provider"/>
          <w:sz w:val="22"/>
          <w:szCs w:val="22"/>
          <w:u w:val="single"/>
        </w:rPr>
        <w:t xml:space="preserve">subsidieoproep. Moet er voldaan worden aan én </w:t>
      </w:r>
      <w:r w:rsidR="00BB45C3" w:rsidRPr="0080472E">
        <w:rPr>
          <w:rStyle w:val="ui-provider"/>
          <w:sz w:val="22"/>
          <w:szCs w:val="22"/>
          <w:u w:val="single"/>
        </w:rPr>
        <w:t xml:space="preserve">&lt;250 VTE </w:t>
      </w:r>
      <w:r w:rsidR="00BE46BB" w:rsidRPr="0080472E">
        <w:rPr>
          <w:rStyle w:val="ui-provider"/>
          <w:sz w:val="22"/>
          <w:szCs w:val="22"/>
          <w:u w:val="single"/>
        </w:rPr>
        <w:t>én</w:t>
      </w:r>
      <w:r w:rsidR="00BB45C3" w:rsidRPr="0080472E">
        <w:rPr>
          <w:rStyle w:val="ui-provider"/>
          <w:sz w:val="22"/>
          <w:szCs w:val="22"/>
          <w:u w:val="single"/>
        </w:rPr>
        <w:t xml:space="preserve"> &lt;50M EUR of kan het iets meer VTE (e.g. 260-270 VTE) zijn maar wel &lt;50M EUR? </w:t>
      </w:r>
    </w:p>
    <w:p w14:paraId="4153A7AA" w14:textId="2624740D" w:rsidR="00BB45C3" w:rsidRPr="0080472E" w:rsidRDefault="007D68DA" w:rsidP="0071634A">
      <w:pPr>
        <w:pStyle w:val="Lijstalinea"/>
        <w:numPr>
          <w:ilvl w:val="0"/>
          <w:numId w:val="3"/>
        </w:numPr>
        <w:ind w:hanging="294"/>
        <w:jc w:val="both"/>
        <w:rPr>
          <w:rStyle w:val="ui-provider"/>
          <w:i/>
          <w:iCs/>
          <w:sz w:val="22"/>
          <w:szCs w:val="22"/>
        </w:rPr>
      </w:pPr>
      <w:r w:rsidRPr="0080472E">
        <w:rPr>
          <w:rStyle w:val="ui-provider"/>
          <w:i/>
          <w:iCs/>
          <w:sz w:val="22"/>
          <w:szCs w:val="22"/>
        </w:rPr>
        <w:t>Om te voldoen aan de Europese kmo</w:t>
      </w:r>
      <w:r w:rsidR="007E4DF4" w:rsidRPr="0080472E">
        <w:rPr>
          <w:rStyle w:val="ui-provider"/>
          <w:i/>
          <w:iCs/>
          <w:sz w:val="22"/>
          <w:szCs w:val="22"/>
        </w:rPr>
        <w:t>-</w:t>
      </w:r>
      <w:r w:rsidRPr="0080472E">
        <w:rPr>
          <w:rStyle w:val="ui-provider"/>
          <w:i/>
          <w:iCs/>
          <w:sz w:val="22"/>
          <w:szCs w:val="22"/>
        </w:rPr>
        <w:t>definitie moet er</w:t>
      </w:r>
      <w:r w:rsidR="004F280A" w:rsidRPr="0080472E">
        <w:rPr>
          <w:rStyle w:val="ui-provider"/>
          <w:i/>
          <w:iCs/>
          <w:sz w:val="22"/>
          <w:szCs w:val="22"/>
        </w:rPr>
        <w:t xml:space="preserve"> zowel aan</w:t>
      </w:r>
      <w:r w:rsidRPr="0080472E">
        <w:rPr>
          <w:rStyle w:val="ui-provider"/>
          <w:i/>
          <w:iCs/>
          <w:sz w:val="22"/>
          <w:szCs w:val="22"/>
        </w:rPr>
        <w:t xml:space="preserve"> de</w:t>
      </w:r>
      <w:r w:rsidR="004F280A" w:rsidRPr="0080472E">
        <w:rPr>
          <w:rStyle w:val="ui-provider"/>
          <w:i/>
          <w:iCs/>
          <w:sz w:val="22"/>
          <w:szCs w:val="22"/>
        </w:rPr>
        <w:t xml:space="preserve"> &lt;250 VTE als aan &lt;50M EUR voldaan zijn.</w:t>
      </w:r>
      <w:r w:rsidR="00003F91" w:rsidRPr="0080472E">
        <w:rPr>
          <w:rStyle w:val="ui-provider"/>
          <w:i/>
          <w:iCs/>
          <w:sz w:val="22"/>
          <w:szCs w:val="22"/>
        </w:rPr>
        <w:t xml:space="preserve"> Hierbij een </w:t>
      </w:r>
      <w:r w:rsidR="009509A1" w:rsidRPr="0080472E">
        <w:rPr>
          <w:rStyle w:val="ui-provider"/>
          <w:i/>
          <w:iCs/>
          <w:sz w:val="22"/>
          <w:szCs w:val="22"/>
        </w:rPr>
        <w:t xml:space="preserve">handig </w:t>
      </w:r>
      <w:r w:rsidR="00003F91" w:rsidRPr="0080472E">
        <w:rPr>
          <w:rStyle w:val="ui-provider"/>
          <w:i/>
          <w:iCs/>
          <w:sz w:val="22"/>
          <w:szCs w:val="22"/>
        </w:rPr>
        <w:t>schema</w:t>
      </w:r>
      <w:r w:rsidR="00D347A1" w:rsidRPr="0080472E">
        <w:rPr>
          <w:rStyle w:val="ui-provider"/>
          <w:i/>
          <w:iCs/>
          <w:sz w:val="22"/>
          <w:szCs w:val="22"/>
        </w:rPr>
        <w:t xml:space="preserve"> met de verschillende drempels</w:t>
      </w:r>
      <w:r w:rsidR="00003F91" w:rsidRPr="0080472E">
        <w:rPr>
          <w:rStyle w:val="ui-provider"/>
          <w:i/>
          <w:iCs/>
          <w:sz w:val="22"/>
          <w:szCs w:val="22"/>
        </w:rPr>
        <w:t xml:space="preserve"> uit de </w:t>
      </w:r>
      <w:hyperlink r:id="rId11" w:history="1">
        <w:r w:rsidR="00003F91" w:rsidRPr="0080472E">
          <w:rPr>
            <w:rStyle w:val="Hyperlink"/>
            <w:i/>
            <w:iCs/>
            <w:sz w:val="22"/>
            <w:szCs w:val="22"/>
          </w:rPr>
          <w:t xml:space="preserve">gebruikersgids voor </w:t>
        </w:r>
        <w:r w:rsidR="00F839E9" w:rsidRPr="0080472E">
          <w:rPr>
            <w:rStyle w:val="Hyperlink"/>
            <w:i/>
            <w:iCs/>
            <w:sz w:val="22"/>
            <w:szCs w:val="22"/>
          </w:rPr>
          <w:t xml:space="preserve">de definitie van </w:t>
        </w:r>
        <w:r w:rsidR="00003F91" w:rsidRPr="0080472E">
          <w:rPr>
            <w:rStyle w:val="Hyperlink"/>
            <w:i/>
            <w:iCs/>
            <w:sz w:val="22"/>
            <w:szCs w:val="22"/>
          </w:rPr>
          <w:t>kmo’s</w:t>
        </w:r>
      </w:hyperlink>
      <w:r w:rsidR="00F839E9" w:rsidRPr="0080472E">
        <w:rPr>
          <w:rStyle w:val="ui-provider"/>
          <w:i/>
          <w:iCs/>
          <w:sz w:val="22"/>
          <w:szCs w:val="22"/>
        </w:rPr>
        <w:t xml:space="preserve">. </w:t>
      </w:r>
    </w:p>
    <w:p w14:paraId="2FBE3C13" w14:textId="0127E491" w:rsidR="00A43D33" w:rsidRPr="0080472E" w:rsidRDefault="00A43D33" w:rsidP="00A43D33">
      <w:pPr>
        <w:pStyle w:val="Lijstalinea"/>
        <w:rPr>
          <w:rStyle w:val="ui-provider"/>
          <w:i/>
          <w:iCs/>
          <w:sz w:val="22"/>
          <w:szCs w:val="22"/>
        </w:rPr>
      </w:pPr>
      <w:r w:rsidRPr="0080472E">
        <w:rPr>
          <w:i/>
          <w:iCs/>
          <w:noProof/>
          <w:sz w:val="22"/>
          <w:szCs w:val="22"/>
        </w:rPr>
        <w:drawing>
          <wp:inline distT="0" distB="0" distL="0" distR="0" wp14:anchorId="72784260" wp14:editId="43BCFC8A">
            <wp:extent cx="4476750" cy="3305175"/>
            <wp:effectExtent l="0" t="0" r="0" b="9525"/>
            <wp:docPr id="406971315"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71315" name="Afbeelding 1" descr="Afbeelding met tekst, schermopname, Lettertype, nummer&#10;&#10;Automatisch gegenereerde beschrijving"/>
                    <pic:cNvPicPr/>
                  </pic:nvPicPr>
                  <pic:blipFill>
                    <a:blip r:embed="rId12"/>
                    <a:stretch>
                      <a:fillRect/>
                    </a:stretch>
                  </pic:blipFill>
                  <pic:spPr>
                    <a:xfrm>
                      <a:off x="0" y="0"/>
                      <a:ext cx="4476750" cy="3305175"/>
                    </a:xfrm>
                    <a:prstGeom prst="rect">
                      <a:avLst/>
                    </a:prstGeom>
                  </pic:spPr>
                </pic:pic>
              </a:graphicData>
            </a:graphic>
          </wp:inline>
        </w:drawing>
      </w:r>
    </w:p>
    <w:p w14:paraId="5824779E" w14:textId="77777777" w:rsidR="00924F42" w:rsidRPr="0080472E" w:rsidRDefault="00924F42" w:rsidP="00A43D33">
      <w:pPr>
        <w:pStyle w:val="Lijstalinea"/>
        <w:rPr>
          <w:rStyle w:val="ui-provider"/>
          <w:i/>
          <w:iCs/>
          <w:sz w:val="22"/>
          <w:szCs w:val="22"/>
        </w:rPr>
      </w:pPr>
    </w:p>
    <w:p w14:paraId="3B583A19" w14:textId="17CBCFCA" w:rsidR="00692098" w:rsidRPr="0080472E" w:rsidRDefault="00692098" w:rsidP="00692098">
      <w:pPr>
        <w:pStyle w:val="Lijstalinea"/>
        <w:numPr>
          <w:ilvl w:val="0"/>
          <w:numId w:val="13"/>
        </w:numPr>
        <w:rPr>
          <w:rStyle w:val="ui-provider"/>
          <w:i/>
          <w:iCs/>
          <w:sz w:val="22"/>
          <w:szCs w:val="22"/>
        </w:rPr>
      </w:pPr>
      <w:r w:rsidRPr="0080472E">
        <w:rPr>
          <w:rStyle w:val="ui-provider"/>
          <w:i/>
          <w:iCs/>
          <w:sz w:val="22"/>
          <w:szCs w:val="22"/>
        </w:rPr>
        <w:t>Om te bepalen welke cijfers in aanmerking komen en vergeleken moeten worden met de drempels, moet een onderneming eerst vaststellen of zij:</w:t>
      </w:r>
    </w:p>
    <w:p w14:paraId="42B99D6F" w14:textId="77777777" w:rsidR="00692098" w:rsidRPr="0080472E" w:rsidRDefault="00692098" w:rsidP="00692098">
      <w:pPr>
        <w:pStyle w:val="Lijstalinea"/>
        <w:numPr>
          <w:ilvl w:val="1"/>
          <w:numId w:val="13"/>
        </w:numPr>
        <w:rPr>
          <w:rStyle w:val="ui-provider"/>
          <w:i/>
          <w:iCs/>
          <w:sz w:val="22"/>
          <w:szCs w:val="22"/>
        </w:rPr>
      </w:pPr>
      <w:r w:rsidRPr="0080472E">
        <w:rPr>
          <w:rStyle w:val="ui-provider"/>
          <w:i/>
          <w:iCs/>
          <w:sz w:val="22"/>
          <w:szCs w:val="22"/>
        </w:rPr>
        <w:t xml:space="preserve">een zelfstandige onderneming (veruit de vaakst voorkomende categorie); </w:t>
      </w:r>
    </w:p>
    <w:p w14:paraId="65D988AF" w14:textId="77777777" w:rsidR="00692098" w:rsidRPr="0080472E" w:rsidRDefault="00692098" w:rsidP="00692098">
      <w:pPr>
        <w:pStyle w:val="Lijstalinea"/>
        <w:numPr>
          <w:ilvl w:val="1"/>
          <w:numId w:val="13"/>
        </w:numPr>
        <w:rPr>
          <w:rStyle w:val="ui-provider"/>
          <w:i/>
          <w:iCs/>
          <w:sz w:val="22"/>
          <w:szCs w:val="22"/>
        </w:rPr>
      </w:pPr>
      <w:r w:rsidRPr="0080472E">
        <w:rPr>
          <w:rStyle w:val="ui-provider"/>
          <w:i/>
          <w:iCs/>
          <w:sz w:val="22"/>
          <w:szCs w:val="22"/>
        </w:rPr>
        <w:t xml:space="preserve">een partneronderneming, of </w:t>
      </w:r>
    </w:p>
    <w:p w14:paraId="713ED66E" w14:textId="77777777" w:rsidR="00692098" w:rsidRPr="0080472E" w:rsidRDefault="00692098" w:rsidP="00692098">
      <w:pPr>
        <w:pStyle w:val="Lijstalinea"/>
        <w:numPr>
          <w:ilvl w:val="1"/>
          <w:numId w:val="13"/>
        </w:numPr>
        <w:rPr>
          <w:rStyle w:val="ui-provider"/>
          <w:i/>
          <w:iCs/>
          <w:sz w:val="22"/>
          <w:szCs w:val="22"/>
        </w:rPr>
      </w:pPr>
      <w:r w:rsidRPr="0080472E">
        <w:rPr>
          <w:rStyle w:val="ui-provider"/>
          <w:i/>
          <w:iCs/>
          <w:sz w:val="22"/>
          <w:szCs w:val="22"/>
        </w:rPr>
        <w:t>een verbonden onderneming is.</w:t>
      </w:r>
    </w:p>
    <w:p w14:paraId="655D87D9" w14:textId="065F3BF3" w:rsidR="00692098" w:rsidRPr="0080472E" w:rsidRDefault="00692098" w:rsidP="00692098">
      <w:pPr>
        <w:pStyle w:val="Lijstalinea"/>
        <w:numPr>
          <w:ilvl w:val="0"/>
          <w:numId w:val="13"/>
        </w:numPr>
        <w:rPr>
          <w:rStyle w:val="ui-provider"/>
          <w:i/>
          <w:iCs/>
          <w:sz w:val="22"/>
          <w:szCs w:val="22"/>
        </w:rPr>
      </w:pPr>
      <w:r w:rsidRPr="0080472E">
        <w:rPr>
          <w:rStyle w:val="ui-provider"/>
          <w:i/>
          <w:iCs/>
          <w:sz w:val="22"/>
          <w:szCs w:val="22"/>
        </w:rPr>
        <w:t xml:space="preserve"> De berekeningen voor elk van de drie ondernemingstypes verschillen en zullen uiteindelijk uitmaken of de onderneming voldoet aan de verschillende drempels die in de definitie van kmo’s zijn vastgesteld. Afhankelijk van de situatie dient een onderneming rekening te houden met alleen haar eigen cijfers, een deel van de cijfers als er sprake is van een partneronderneming, of alle cijfers van elke onderneming waarmee zij verbonden is</w:t>
      </w:r>
      <w:r w:rsidR="009946AC" w:rsidRPr="0080472E">
        <w:rPr>
          <w:rStyle w:val="ui-provider"/>
          <w:i/>
          <w:iCs/>
          <w:sz w:val="22"/>
          <w:szCs w:val="22"/>
        </w:rPr>
        <w:t>.</w:t>
      </w:r>
    </w:p>
    <w:p w14:paraId="4E00E2E6" w14:textId="77777777" w:rsidR="00924F42" w:rsidRPr="0080472E" w:rsidRDefault="00924F42" w:rsidP="00A43D33">
      <w:pPr>
        <w:pStyle w:val="Lijstalinea"/>
        <w:rPr>
          <w:rStyle w:val="ui-provider"/>
          <w:i/>
          <w:iCs/>
          <w:sz w:val="22"/>
          <w:szCs w:val="22"/>
        </w:rPr>
      </w:pPr>
    </w:p>
    <w:p w14:paraId="2E59C969" w14:textId="77777777" w:rsidR="00433F06" w:rsidRPr="0080472E" w:rsidRDefault="00433F06" w:rsidP="00433F06">
      <w:pPr>
        <w:pStyle w:val="Lijstalinea"/>
        <w:ind w:left="426"/>
        <w:rPr>
          <w:rStyle w:val="ui-provider"/>
          <w:sz w:val="22"/>
          <w:szCs w:val="22"/>
        </w:rPr>
      </w:pPr>
    </w:p>
    <w:p w14:paraId="7F150275" w14:textId="77777777" w:rsidR="002F06DD" w:rsidRPr="0080472E" w:rsidRDefault="002F06DD">
      <w:pPr>
        <w:rPr>
          <w:rStyle w:val="ui-provider"/>
          <w:sz w:val="22"/>
          <w:szCs w:val="22"/>
          <w:u w:val="single"/>
        </w:rPr>
      </w:pPr>
      <w:r w:rsidRPr="0080472E">
        <w:rPr>
          <w:rStyle w:val="ui-provider"/>
          <w:sz w:val="22"/>
          <w:szCs w:val="22"/>
          <w:u w:val="single"/>
        </w:rPr>
        <w:br w:type="page"/>
      </w:r>
    </w:p>
    <w:p w14:paraId="3FFAB801" w14:textId="01561A28" w:rsidR="00BB45C3" w:rsidRPr="0080472E" w:rsidRDefault="00BB45C3" w:rsidP="0071634A">
      <w:pPr>
        <w:pStyle w:val="Lijstalinea"/>
        <w:numPr>
          <w:ilvl w:val="0"/>
          <w:numId w:val="4"/>
        </w:numPr>
        <w:ind w:left="426"/>
        <w:jc w:val="both"/>
        <w:rPr>
          <w:rStyle w:val="ui-provider"/>
          <w:sz w:val="22"/>
          <w:szCs w:val="22"/>
          <w:u w:val="single"/>
        </w:rPr>
      </w:pPr>
      <w:r w:rsidRPr="0080472E">
        <w:rPr>
          <w:rStyle w:val="ui-provider"/>
          <w:sz w:val="22"/>
          <w:szCs w:val="22"/>
          <w:u w:val="single"/>
        </w:rPr>
        <w:lastRenderedPageBreak/>
        <w:t xml:space="preserve">Een bijkomende vraag over de definitie van </w:t>
      </w:r>
      <w:r w:rsidR="007E4DF4" w:rsidRPr="0080472E">
        <w:rPr>
          <w:rStyle w:val="ui-provider"/>
          <w:sz w:val="22"/>
          <w:szCs w:val="22"/>
          <w:u w:val="single"/>
        </w:rPr>
        <w:t>kmo</w:t>
      </w:r>
      <w:r w:rsidRPr="0080472E">
        <w:rPr>
          <w:rStyle w:val="ui-provider"/>
          <w:sz w:val="22"/>
          <w:szCs w:val="22"/>
          <w:u w:val="single"/>
        </w:rPr>
        <w:t>: wij zijn een VZW die wordt gesubsidieerd door</w:t>
      </w:r>
      <w:r w:rsidR="00433F06" w:rsidRPr="0080472E">
        <w:rPr>
          <w:rStyle w:val="ui-provider"/>
          <w:sz w:val="22"/>
          <w:szCs w:val="22"/>
          <w:u w:val="single"/>
        </w:rPr>
        <w:t xml:space="preserve"> het</w:t>
      </w:r>
      <w:r w:rsidRPr="0080472E">
        <w:rPr>
          <w:rStyle w:val="ui-provider"/>
          <w:sz w:val="22"/>
          <w:szCs w:val="22"/>
          <w:u w:val="single"/>
        </w:rPr>
        <w:t xml:space="preserve"> Agentschap Opgroeien. Val</w:t>
      </w:r>
      <w:r w:rsidR="00142A7C" w:rsidRPr="0080472E">
        <w:rPr>
          <w:rStyle w:val="ui-provider"/>
          <w:sz w:val="22"/>
          <w:szCs w:val="22"/>
          <w:u w:val="single"/>
        </w:rPr>
        <w:t>t</w:t>
      </w:r>
      <w:r w:rsidRPr="0080472E">
        <w:rPr>
          <w:rStyle w:val="ui-provider"/>
          <w:sz w:val="22"/>
          <w:szCs w:val="22"/>
          <w:u w:val="single"/>
        </w:rPr>
        <w:t xml:space="preserve"> dit ook onder de Europese definitie van een </w:t>
      </w:r>
      <w:r w:rsidR="007E4DF4" w:rsidRPr="0080472E">
        <w:rPr>
          <w:rStyle w:val="ui-provider"/>
          <w:sz w:val="22"/>
          <w:szCs w:val="22"/>
          <w:u w:val="single"/>
        </w:rPr>
        <w:t>kmo</w:t>
      </w:r>
      <w:r w:rsidRPr="0080472E">
        <w:rPr>
          <w:rStyle w:val="ui-provider"/>
          <w:sz w:val="22"/>
          <w:szCs w:val="22"/>
          <w:u w:val="single"/>
        </w:rPr>
        <w:t xml:space="preserve">? </w:t>
      </w:r>
    </w:p>
    <w:p w14:paraId="428FCE17" w14:textId="21667A1D" w:rsidR="009A527D" w:rsidRPr="0080472E" w:rsidRDefault="00BB45C3" w:rsidP="47B8EFA0">
      <w:pPr>
        <w:pStyle w:val="Lijstalinea"/>
        <w:numPr>
          <w:ilvl w:val="0"/>
          <w:numId w:val="3"/>
        </w:numPr>
        <w:ind w:hanging="294"/>
        <w:jc w:val="both"/>
        <w:rPr>
          <w:rStyle w:val="ui-provider"/>
          <w:i/>
          <w:iCs/>
          <w:sz w:val="22"/>
          <w:szCs w:val="22"/>
        </w:rPr>
      </w:pPr>
      <w:r w:rsidRPr="0080472E">
        <w:rPr>
          <w:rStyle w:val="ui-provider"/>
          <w:i/>
          <w:iCs/>
          <w:sz w:val="22"/>
          <w:szCs w:val="22"/>
        </w:rPr>
        <w:t>D</w:t>
      </w:r>
      <w:r w:rsidR="00AB37EF" w:rsidRPr="0080472E">
        <w:rPr>
          <w:rStyle w:val="ui-provider"/>
          <w:i/>
          <w:iCs/>
          <w:sz w:val="22"/>
          <w:szCs w:val="22"/>
        </w:rPr>
        <w:t>e</w:t>
      </w:r>
      <w:r w:rsidR="00860C35" w:rsidRPr="0080472E">
        <w:rPr>
          <w:rStyle w:val="ui-provider"/>
          <w:i/>
          <w:iCs/>
          <w:sz w:val="22"/>
          <w:szCs w:val="22"/>
        </w:rPr>
        <w:t xml:space="preserve"> </w:t>
      </w:r>
      <w:r w:rsidR="00AB37EF" w:rsidRPr="0080472E">
        <w:rPr>
          <w:rStyle w:val="ui-provider"/>
          <w:i/>
          <w:iCs/>
          <w:sz w:val="22"/>
          <w:szCs w:val="22"/>
        </w:rPr>
        <w:t xml:space="preserve">subsidies </w:t>
      </w:r>
      <w:r w:rsidR="00C2507F" w:rsidRPr="0080472E">
        <w:rPr>
          <w:rStyle w:val="ui-provider"/>
          <w:i/>
          <w:iCs/>
          <w:sz w:val="22"/>
          <w:szCs w:val="22"/>
        </w:rPr>
        <w:t xml:space="preserve">die een onderneming ontvangt </w:t>
      </w:r>
      <w:r w:rsidR="00AB37EF" w:rsidRPr="0080472E">
        <w:rPr>
          <w:rStyle w:val="ui-provider"/>
          <w:i/>
          <w:iCs/>
          <w:sz w:val="22"/>
          <w:szCs w:val="22"/>
        </w:rPr>
        <w:t xml:space="preserve">zijn niet bepalend </w:t>
      </w:r>
      <w:r w:rsidR="00860C35" w:rsidRPr="0080472E">
        <w:rPr>
          <w:rStyle w:val="ui-provider"/>
          <w:i/>
          <w:iCs/>
          <w:sz w:val="22"/>
          <w:szCs w:val="22"/>
        </w:rPr>
        <w:t xml:space="preserve">voor </w:t>
      </w:r>
      <w:r w:rsidR="00B86DF0" w:rsidRPr="0080472E">
        <w:rPr>
          <w:rStyle w:val="ui-provider"/>
          <w:i/>
          <w:iCs/>
          <w:sz w:val="22"/>
          <w:szCs w:val="22"/>
        </w:rPr>
        <w:t xml:space="preserve">het definiëren van </w:t>
      </w:r>
      <w:r w:rsidR="00860C35" w:rsidRPr="0080472E">
        <w:rPr>
          <w:rStyle w:val="ui-provider"/>
          <w:i/>
          <w:iCs/>
          <w:sz w:val="22"/>
          <w:szCs w:val="22"/>
        </w:rPr>
        <w:t xml:space="preserve">een kmo. </w:t>
      </w:r>
      <w:r w:rsidR="00096DA4" w:rsidRPr="0080472E">
        <w:rPr>
          <w:rStyle w:val="ui-provider"/>
          <w:i/>
          <w:iCs/>
          <w:sz w:val="22"/>
          <w:szCs w:val="22"/>
        </w:rPr>
        <w:t>D</w:t>
      </w:r>
      <w:r w:rsidR="00192391" w:rsidRPr="0080472E">
        <w:rPr>
          <w:rStyle w:val="ui-provider"/>
          <w:i/>
          <w:iCs/>
          <w:sz w:val="22"/>
          <w:szCs w:val="22"/>
        </w:rPr>
        <w:t xml:space="preserve">eze </w:t>
      </w:r>
      <w:r w:rsidR="00B6639B" w:rsidRPr="0080472E">
        <w:rPr>
          <w:rStyle w:val="ui-provider"/>
          <w:i/>
          <w:iCs/>
          <w:sz w:val="22"/>
          <w:szCs w:val="22"/>
        </w:rPr>
        <w:t>kán</w:t>
      </w:r>
      <w:r w:rsidR="00192391" w:rsidRPr="0080472E">
        <w:rPr>
          <w:rStyle w:val="ui-provider"/>
          <w:i/>
          <w:iCs/>
          <w:sz w:val="22"/>
          <w:szCs w:val="22"/>
        </w:rPr>
        <w:t xml:space="preserve"> wel een invloed </w:t>
      </w:r>
      <w:r w:rsidR="00B6639B" w:rsidRPr="0080472E">
        <w:rPr>
          <w:rStyle w:val="ui-provider"/>
          <w:i/>
          <w:iCs/>
          <w:sz w:val="22"/>
          <w:szCs w:val="22"/>
        </w:rPr>
        <w:t xml:space="preserve">hebben </w:t>
      </w:r>
      <w:r w:rsidR="00130139" w:rsidRPr="0080472E">
        <w:rPr>
          <w:rStyle w:val="ui-provider"/>
          <w:i/>
          <w:iCs/>
          <w:sz w:val="22"/>
          <w:szCs w:val="22"/>
        </w:rPr>
        <w:t>op</w:t>
      </w:r>
      <w:r w:rsidR="00FC5D1E" w:rsidRPr="0080472E">
        <w:rPr>
          <w:rStyle w:val="ui-provider"/>
          <w:i/>
          <w:iCs/>
          <w:sz w:val="22"/>
          <w:szCs w:val="22"/>
        </w:rPr>
        <w:t xml:space="preserve"> de opmaak van de</w:t>
      </w:r>
      <w:r w:rsidR="001B6597" w:rsidRPr="0080472E">
        <w:rPr>
          <w:rStyle w:val="ui-provider"/>
          <w:i/>
          <w:iCs/>
          <w:sz w:val="22"/>
          <w:szCs w:val="22"/>
        </w:rPr>
        <w:t xml:space="preserve"> </w:t>
      </w:r>
      <w:r w:rsidR="00FC5D1E" w:rsidRPr="0080472E">
        <w:rPr>
          <w:rStyle w:val="ui-provider"/>
          <w:i/>
          <w:iCs/>
          <w:sz w:val="22"/>
          <w:szCs w:val="22"/>
        </w:rPr>
        <w:t>begroting</w:t>
      </w:r>
      <w:r w:rsidR="00130139" w:rsidRPr="0080472E">
        <w:rPr>
          <w:rStyle w:val="ui-provider"/>
          <w:i/>
          <w:iCs/>
          <w:sz w:val="22"/>
          <w:szCs w:val="22"/>
        </w:rPr>
        <w:t>.</w:t>
      </w:r>
      <w:r w:rsidR="00FC5D1E" w:rsidRPr="0080472E">
        <w:rPr>
          <w:rStyle w:val="ui-provider"/>
          <w:i/>
          <w:iCs/>
          <w:sz w:val="22"/>
          <w:szCs w:val="22"/>
        </w:rPr>
        <w:t xml:space="preserve"> </w:t>
      </w:r>
      <w:r w:rsidR="00B1048F" w:rsidRPr="0080472E">
        <w:rPr>
          <w:rStyle w:val="ui-provider"/>
          <w:i/>
          <w:iCs/>
          <w:sz w:val="22"/>
          <w:szCs w:val="22"/>
        </w:rPr>
        <w:t xml:space="preserve">In bepaalde gevallen </w:t>
      </w:r>
      <w:r w:rsidR="00015E17" w:rsidRPr="0080472E">
        <w:rPr>
          <w:rStyle w:val="ui-provider"/>
          <w:i/>
          <w:iCs/>
          <w:sz w:val="22"/>
          <w:szCs w:val="22"/>
        </w:rPr>
        <w:t>zal</w:t>
      </w:r>
      <w:r w:rsidR="00B1048F" w:rsidRPr="0080472E">
        <w:rPr>
          <w:rStyle w:val="ui-provider"/>
          <w:i/>
          <w:iCs/>
          <w:sz w:val="22"/>
          <w:szCs w:val="22"/>
        </w:rPr>
        <w:t xml:space="preserve"> </w:t>
      </w:r>
      <w:r w:rsidR="00015E17" w:rsidRPr="0080472E">
        <w:rPr>
          <w:rStyle w:val="ui-provider"/>
          <w:i/>
          <w:iCs/>
          <w:sz w:val="22"/>
          <w:szCs w:val="22"/>
        </w:rPr>
        <w:t>je</w:t>
      </w:r>
      <w:r w:rsidR="00B1048F" w:rsidRPr="0080472E">
        <w:rPr>
          <w:rStyle w:val="ui-provider"/>
          <w:i/>
          <w:iCs/>
          <w:sz w:val="22"/>
          <w:szCs w:val="22"/>
        </w:rPr>
        <w:t xml:space="preserve"> </w:t>
      </w:r>
      <w:r w:rsidR="006C181A" w:rsidRPr="0080472E">
        <w:rPr>
          <w:rStyle w:val="ui-provider"/>
          <w:i/>
          <w:iCs/>
          <w:sz w:val="22"/>
          <w:szCs w:val="22"/>
        </w:rPr>
        <w:t>een</w:t>
      </w:r>
      <w:r w:rsidR="00B1048F" w:rsidRPr="0080472E">
        <w:rPr>
          <w:rStyle w:val="ui-provider"/>
          <w:i/>
          <w:iCs/>
          <w:sz w:val="22"/>
          <w:szCs w:val="22"/>
        </w:rPr>
        <w:t xml:space="preserve"> </w:t>
      </w:r>
      <w:r w:rsidR="002340F8" w:rsidRPr="0080472E">
        <w:rPr>
          <w:rStyle w:val="ui-provider"/>
          <w:i/>
          <w:iCs/>
          <w:sz w:val="22"/>
          <w:szCs w:val="22"/>
        </w:rPr>
        <w:t xml:space="preserve">subsidie </w:t>
      </w:r>
      <w:r w:rsidR="00142878" w:rsidRPr="0080472E">
        <w:rPr>
          <w:rStyle w:val="ui-provider"/>
          <w:i/>
          <w:iCs/>
          <w:sz w:val="22"/>
          <w:szCs w:val="22"/>
        </w:rPr>
        <w:t xml:space="preserve">(verkregen bij andere overheden) </w:t>
      </w:r>
      <w:r w:rsidR="00015E17" w:rsidRPr="0080472E">
        <w:rPr>
          <w:rStyle w:val="ui-provider"/>
          <w:i/>
          <w:iCs/>
          <w:sz w:val="22"/>
          <w:szCs w:val="22"/>
        </w:rPr>
        <w:t>moeten</w:t>
      </w:r>
      <w:r w:rsidR="00142878" w:rsidRPr="0080472E">
        <w:rPr>
          <w:rStyle w:val="ui-provider"/>
          <w:i/>
          <w:iCs/>
          <w:sz w:val="22"/>
          <w:szCs w:val="22"/>
        </w:rPr>
        <w:t xml:space="preserve"> </w:t>
      </w:r>
      <w:r w:rsidR="00015E17" w:rsidRPr="0080472E">
        <w:rPr>
          <w:rStyle w:val="ui-provider"/>
          <w:i/>
          <w:iCs/>
          <w:sz w:val="22"/>
          <w:szCs w:val="22"/>
        </w:rPr>
        <w:t>inbrengen</w:t>
      </w:r>
      <w:r w:rsidR="00142878" w:rsidRPr="0080472E">
        <w:rPr>
          <w:rStyle w:val="ui-provider"/>
          <w:i/>
          <w:iCs/>
          <w:sz w:val="22"/>
          <w:szCs w:val="22"/>
        </w:rPr>
        <w:t xml:space="preserve"> in dit project als </w:t>
      </w:r>
      <w:r w:rsidR="00E3685A" w:rsidRPr="0080472E">
        <w:rPr>
          <w:rStyle w:val="ui-provider"/>
          <w:i/>
          <w:iCs/>
          <w:sz w:val="22"/>
          <w:szCs w:val="22"/>
        </w:rPr>
        <w:t>‘</w:t>
      </w:r>
      <w:r w:rsidR="00142878" w:rsidRPr="0080472E">
        <w:rPr>
          <w:rStyle w:val="ui-provider"/>
          <w:i/>
          <w:iCs/>
          <w:sz w:val="22"/>
          <w:szCs w:val="22"/>
        </w:rPr>
        <w:t>Andere publieke cofinanciering</w:t>
      </w:r>
      <w:r w:rsidR="00E3685A" w:rsidRPr="0080472E">
        <w:rPr>
          <w:rStyle w:val="ui-provider"/>
          <w:i/>
          <w:iCs/>
          <w:sz w:val="22"/>
          <w:szCs w:val="22"/>
        </w:rPr>
        <w:t>’</w:t>
      </w:r>
      <w:r w:rsidR="00142878" w:rsidRPr="0080472E">
        <w:rPr>
          <w:rStyle w:val="ui-provider"/>
          <w:i/>
          <w:iCs/>
          <w:sz w:val="22"/>
          <w:szCs w:val="22"/>
        </w:rPr>
        <w:t xml:space="preserve">. </w:t>
      </w:r>
      <w:r w:rsidR="00931C99" w:rsidRPr="0080472E">
        <w:rPr>
          <w:rStyle w:val="ui-provider"/>
          <w:i/>
          <w:iCs/>
          <w:sz w:val="22"/>
          <w:szCs w:val="22"/>
        </w:rPr>
        <w:t xml:space="preserve">Dit is het geval als </w:t>
      </w:r>
      <w:r w:rsidR="00D35EB6" w:rsidRPr="0080472E">
        <w:rPr>
          <w:rStyle w:val="ui-provider"/>
          <w:i/>
          <w:iCs/>
          <w:sz w:val="22"/>
          <w:szCs w:val="22"/>
        </w:rPr>
        <w:t xml:space="preserve">bepaalde personeelsleden, </w:t>
      </w:r>
      <w:r w:rsidR="002A01FC" w:rsidRPr="0080472E">
        <w:rPr>
          <w:rStyle w:val="ui-provider"/>
          <w:i/>
          <w:iCs/>
          <w:sz w:val="22"/>
          <w:szCs w:val="22"/>
        </w:rPr>
        <w:t>wiens kost wordt</w:t>
      </w:r>
      <w:r w:rsidR="00D35EB6" w:rsidRPr="0080472E">
        <w:rPr>
          <w:rStyle w:val="ui-provider"/>
          <w:i/>
          <w:iCs/>
          <w:sz w:val="22"/>
          <w:szCs w:val="22"/>
        </w:rPr>
        <w:t xml:space="preserve"> ingebracht in het project, gefinancierd worden door een overheid</w:t>
      </w:r>
      <w:r w:rsidR="00CA2A4F" w:rsidRPr="0080472E">
        <w:rPr>
          <w:rStyle w:val="ui-provider"/>
          <w:i/>
          <w:iCs/>
          <w:sz w:val="22"/>
          <w:szCs w:val="22"/>
        </w:rPr>
        <w:t xml:space="preserve"> of wanneer </w:t>
      </w:r>
      <w:r w:rsidR="00376075" w:rsidRPr="0080472E">
        <w:rPr>
          <w:rStyle w:val="ui-provider"/>
          <w:i/>
          <w:iCs/>
          <w:sz w:val="22"/>
          <w:szCs w:val="22"/>
        </w:rPr>
        <w:t xml:space="preserve">je </w:t>
      </w:r>
      <w:r w:rsidR="008460C8" w:rsidRPr="0080472E">
        <w:rPr>
          <w:rStyle w:val="ui-provider"/>
          <w:i/>
          <w:iCs/>
          <w:sz w:val="22"/>
          <w:szCs w:val="22"/>
        </w:rPr>
        <w:t>voor acties binnen het project reeds een andere subsidie ontvangt</w:t>
      </w:r>
      <w:r w:rsidR="009D7864" w:rsidRPr="0080472E">
        <w:rPr>
          <w:rStyle w:val="ui-provider"/>
          <w:i/>
          <w:iCs/>
          <w:sz w:val="22"/>
          <w:szCs w:val="22"/>
        </w:rPr>
        <w:t xml:space="preserve">. In beide gevallen </w:t>
      </w:r>
      <w:r w:rsidR="007823F9" w:rsidRPr="0080472E">
        <w:rPr>
          <w:rStyle w:val="ui-provider"/>
          <w:i/>
          <w:iCs/>
          <w:sz w:val="22"/>
          <w:szCs w:val="22"/>
        </w:rPr>
        <w:t>moet</w:t>
      </w:r>
      <w:r w:rsidR="009D7864" w:rsidRPr="0080472E">
        <w:rPr>
          <w:rStyle w:val="ui-provider"/>
          <w:i/>
          <w:iCs/>
          <w:sz w:val="22"/>
          <w:szCs w:val="22"/>
        </w:rPr>
        <w:t xml:space="preserve"> </w:t>
      </w:r>
      <w:r w:rsidR="00357908" w:rsidRPr="0080472E">
        <w:rPr>
          <w:rStyle w:val="ui-provider"/>
          <w:i/>
          <w:iCs/>
          <w:sz w:val="22"/>
          <w:szCs w:val="22"/>
        </w:rPr>
        <w:t>dit worden aangegeven als publieke cofinanciering.</w:t>
      </w:r>
      <w:r w:rsidR="0032722C" w:rsidRPr="0080472E">
        <w:rPr>
          <w:rStyle w:val="ui-provider"/>
          <w:i/>
          <w:iCs/>
          <w:sz w:val="22"/>
          <w:szCs w:val="22"/>
        </w:rPr>
        <w:t xml:space="preserve"> Zie ook</w:t>
      </w:r>
      <w:r w:rsidR="00770729" w:rsidRPr="0080472E">
        <w:rPr>
          <w:rStyle w:val="ui-provider"/>
          <w:i/>
          <w:iCs/>
          <w:sz w:val="22"/>
          <w:szCs w:val="22"/>
        </w:rPr>
        <w:t xml:space="preserve"> oproepfiche punt</w:t>
      </w:r>
      <w:r w:rsidR="0032722C" w:rsidRPr="0080472E">
        <w:rPr>
          <w:rStyle w:val="ui-provider"/>
          <w:i/>
          <w:iCs/>
          <w:sz w:val="22"/>
          <w:szCs w:val="22"/>
        </w:rPr>
        <w:t xml:space="preserve"> </w:t>
      </w:r>
      <w:r w:rsidR="00770729" w:rsidRPr="0080472E">
        <w:rPr>
          <w:rStyle w:val="ui-provider"/>
          <w:i/>
          <w:iCs/>
          <w:sz w:val="22"/>
          <w:szCs w:val="22"/>
        </w:rPr>
        <w:t>4.2.1 ‘Andere publieke cofinanciering’.</w:t>
      </w:r>
      <w:r w:rsidR="00357908" w:rsidRPr="0080472E">
        <w:rPr>
          <w:rStyle w:val="ui-provider"/>
          <w:i/>
          <w:iCs/>
          <w:sz w:val="22"/>
          <w:szCs w:val="22"/>
        </w:rPr>
        <w:t xml:space="preserve"> </w:t>
      </w:r>
      <w:r w:rsidR="00EF4FA2" w:rsidRPr="0080472E">
        <w:rPr>
          <w:rStyle w:val="ui-provider"/>
          <w:i/>
          <w:iCs/>
          <w:sz w:val="22"/>
          <w:szCs w:val="22"/>
        </w:rPr>
        <w:t>Bij twijfel</w:t>
      </w:r>
      <w:r w:rsidR="007823F9" w:rsidRPr="0080472E">
        <w:rPr>
          <w:rStyle w:val="ui-provider"/>
          <w:i/>
          <w:iCs/>
          <w:sz w:val="22"/>
          <w:szCs w:val="22"/>
        </w:rPr>
        <w:t xml:space="preserve"> kan je</w:t>
      </w:r>
      <w:r w:rsidR="00357908" w:rsidRPr="0080472E">
        <w:rPr>
          <w:rStyle w:val="ui-provider"/>
          <w:i/>
          <w:iCs/>
          <w:sz w:val="22"/>
          <w:szCs w:val="22"/>
        </w:rPr>
        <w:t xml:space="preserve"> ons contacteren. </w:t>
      </w:r>
    </w:p>
    <w:p w14:paraId="13EAFED3" w14:textId="77777777" w:rsidR="001B6597" w:rsidRPr="0080472E" w:rsidRDefault="001B6597" w:rsidP="0071634A">
      <w:pPr>
        <w:pStyle w:val="Lijstalinea"/>
        <w:ind w:left="426"/>
        <w:jc w:val="both"/>
        <w:rPr>
          <w:rStyle w:val="ui-provider"/>
          <w:sz w:val="22"/>
          <w:szCs w:val="22"/>
        </w:rPr>
      </w:pPr>
    </w:p>
    <w:p w14:paraId="4D022000" w14:textId="76BB0D3B" w:rsidR="009A527D" w:rsidRPr="0080472E" w:rsidRDefault="007436E0" w:rsidP="0071634A">
      <w:pPr>
        <w:pStyle w:val="Lijstalinea"/>
        <w:numPr>
          <w:ilvl w:val="0"/>
          <w:numId w:val="4"/>
        </w:numPr>
        <w:ind w:left="426"/>
        <w:jc w:val="both"/>
        <w:rPr>
          <w:rStyle w:val="ui-provider"/>
          <w:sz w:val="22"/>
          <w:szCs w:val="22"/>
          <w:u w:val="single"/>
        </w:rPr>
      </w:pPr>
      <w:r w:rsidRPr="0080472E">
        <w:rPr>
          <w:rStyle w:val="ui-provider"/>
          <w:sz w:val="22"/>
          <w:szCs w:val="22"/>
          <w:u w:val="single"/>
        </w:rPr>
        <w:t>Komt een onderneming</w:t>
      </w:r>
      <w:r w:rsidR="00756AE2" w:rsidRPr="0080472E">
        <w:rPr>
          <w:rStyle w:val="ui-provider"/>
          <w:sz w:val="22"/>
          <w:szCs w:val="22"/>
          <w:u w:val="single"/>
        </w:rPr>
        <w:t xml:space="preserve"> met minder dan 10 VTE</w:t>
      </w:r>
      <w:r w:rsidRPr="0080472E">
        <w:rPr>
          <w:rStyle w:val="ui-provider"/>
          <w:sz w:val="22"/>
          <w:szCs w:val="22"/>
          <w:u w:val="single"/>
        </w:rPr>
        <w:t xml:space="preserve"> in aanmerking voor deelname </w:t>
      </w:r>
      <w:r w:rsidR="00756AE2" w:rsidRPr="0080472E">
        <w:rPr>
          <w:rStyle w:val="ui-provider"/>
          <w:sz w:val="22"/>
          <w:szCs w:val="22"/>
          <w:u w:val="single"/>
        </w:rPr>
        <w:t xml:space="preserve">aan de oproep </w:t>
      </w:r>
      <w:r w:rsidRPr="0080472E">
        <w:rPr>
          <w:rStyle w:val="ui-provider"/>
          <w:sz w:val="22"/>
          <w:szCs w:val="22"/>
          <w:u w:val="single"/>
        </w:rPr>
        <w:t>wanneer deze</w:t>
      </w:r>
      <w:r w:rsidR="0071763C" w:rsidRPr="0080472E">
        <w:rPr>
          <w:rStyle w:val="ui-provider"/>
          <w:sz w:val="22"/>
          <w:szCs w:val="22"/>
          <w:u w:val="single"/>
        </w:rPr>
        <w:t xml:space="preserve"> </w:t>
      </w:r>
      <w:r w:rsidR="00756AE2" w:rsidRPr="0080472E">
        <w:rPr>
          <w:rStyle w:val="ui-provider"/>
          <w:sz w:val="22"/>
          <w:szCs w:val="22"/>
          <w:u w:val="single"/>
        </w:rPr>
        <w:t xml:space="preserve">binnen de structuur van </w:t>
      </w:r>
      <w:r w:rsidR="0071763C" w:rsidRPr="0080472E">
        <w:rPr>
          <w:rStyle w:val="ui-provider"/>
          <w:sz w:val="22"/>
          <w:szCs w:val="22"/>
          <w:u w:val="single"/>
        </w:rPr>
        <w:t xml:space="preserve">verbonden ondernemingen </w:t>
      </w:r>
      <w:r w:rsidR="00756AE2" w:rsidRPr="0080472E">
        <w:rPr>
          <w:rStyle w:val="ui-provider"/>
          <w:sz w:val="22"/>
          <w:szCs w:val="22"/>
          <w:u w:val="single"/>
        </w:rPr>
        <w:t>wel aan meer dan 10</w:t>
      </w:r>
      <w:r w:rsidR="0071763C" w:rsidRPr="0080472E">
        <w:rPr>
          <w:rStyle w:val="ui-provider"/>
          <w:sz w:val="22"/>
          <w:szCs w:val="22"/>
          <w:u w:val="single"/>
        </w:rPr>
        <w:t xml:space="preserve"> werknemers</w:t>
      </w:r>
      <w:r w:rsidR="00756AE2" w:rsidRPr="0080472E">
        <w:rPr>
          <w:rStyle w:val="ui-provider"/>
          <w:sz w:val="22"/>
          <w:szCs w:val="22"/>
          <w:u w:val="single"/>
        </w:rPr>
        <w:t xml:space="preserve"> komt</w:t>
      </w:r>
      <w:r w:rsidR="00D63A2F" w:rsidRPr="0080472E">
        <w:rPr>
          <w:rStyle w:val="ui-provider"/>
          <w:sz w:val="22"/>
          <w:szCs w:val="22"/>
          <w:u w:val="single"/>
        </w:rPr>
        <w:t xml:space="preserve">? En </w:t>
      </w:r>
      <w:r w:rsidR="0071763C" w:rsidRPr="0080472E">
        <w:rPr>
          <w:rStyle w:val="ui-provider"/>
          <w:sz w:val="22"/>
          <w:szCs w:val="22"/>
          <w:u w:val="single"/>
        </w:rPr>
        <w:t>kunnen de vennootschappen samen indienen?</w:t>
      </w:r>
      <w:r w:rsidR="00AA0DC2" w:rsidRPr="0080472E">
        <w:rPr>
          <w:rStyle w:val="ui-provider"/>
          <w:sz w:val="22"/>
          <w:szCs w:val="22"/>
          <w:u w:val="single"/>
        </w:rPr>
        <w:t xml:space="preserve"> </w:t>
      </w:r>
    </w:p>
    <w:p w14:paraId="6B6F64B8" w14:textId="3027769E" w:rsidR="00A51513" w:rsidRPr="0080472E" w:rsidRDefault="36719913" w:rsidP="27930D94">
      <w:pPr>
        <w:pStyle w:val="Lijstalinea"/>
        <w:numPr>
          <w:ilvl w:val="0"/>
          <w:numId w:val="3"/>
        </w:numPr>
        <w:ind w:hanging="294"/>
        <w:jc w:val="both"/>
        <w:rPr>
          <w:rStyle w:val="ui-provider"/>
          <w:i/>
          <w:iCs/>
          <w:sz w:val="22"/>
          <w:szCs w:val="22"/>
        </w:rPr>
      </w:pPr>
      <w:r w:rsidRPr="0080472E">
        <w:rPr>
          <w:rStyle w:val="ui-provider"/>
          <w:i/>
          <w:iCs/>
          <w:sz w:val="22"/>
          <w:szCs w:val="22"/>
        </w:rPr>
        <w:t>Deze onderneming zou in aanmerking kunnen komen op basis van de Europese kmo-definitie</w:t>
      </w:r>
      <w:r w:rsidR="00243A76" w:rsidRPr="0080472E">
        <w:rPr>
          <w:rStyle w:val="ui-provider"/>
          <w:i/>
          <w:iCs/>
          <w:sz w:val="22"/>
          <w:szCs w:val="22"/>
        </w:rPr>
        <w:t xml:space="preserve"> indien ook </w:t>
      </w:r>
      <w:r w:rsidR="00676CBE" w:rsidRPr="0080472E">
        <w:rPr>
          <w:rStyle w:val="ui-provider"/>
          <w:i/>
          <w:iCs/>
          <w:sz w:val="22"/>
          <w:szCs w:val="22"/>
        </w:rPr>
        <w:t xml:space="preserve">de het jaarlijks </w:t>
      </w:r>
      <w:r w:rsidR="00243A76" w:rsidRPr="0080472E">
        <w:rPr>
          <w:rStyle w:val="ui-provider"/>
          <w:i/>
          <w:iCs/>
          <w:sz w:val="22"/>
          <w:szCs w:val="22"/>
        </w:rPr>
        <w:t>balans</w:t>
      </w:r>
      <w:r w:rsidR="00676CBE" w:rsidRPr="0080472E">
        <w:rPr>
          <w:rStyle w:val="ui-provider"/>
          <w:i/>
          <w:iCs/>
          <w:sz w:val="22"/>
          <w:szCs w:val="22"/>
        </w:rPr>
        <w:t>totaal</w:t>
      </w:r>
      <w:r w:rsidR="00243A76" w:rsidRPr="0080472E">
        <w:rPr>
          <w:rStyle w:val="ui-provider"/>
          <w:i/>
          <w:iCs/>
          <w:sz w:val="22"/>
          <w:szCs w:val="22"/>
        </w:rPr>
        <w:t xml:space="preserve"> en</w:t>
      </w:r>
      <w:r w:rsidR="00B4514A" w:rsidRPr="0080472E">
        <w:rPr>
          <w:rStyle w:val="ui-provider"/>
          <w:i/>
          <w:iCs/>
          <w:sz w:val="22"/>
          <w:szCs w:val="22"/>
        </w:rPr>
        <w:t>/of</w:t>
      </w:r>
      <w:r w:rsidR="00243A76" w:rsidRPr="0080472E">
        <w:rPr>
          <w:rStyle w:val="ui-provider"/>
          <w:i/>
          <w:iCs/>
          <w:sz w:val="22"/>
          <w:szCs w:val="22"/>
        </w:rPr>
        <w:t xml:space="preserve"> </w:t>
      </w:r>
      <w:r w:rsidR="00676CBE" w:rsidRPr="0080472E">
        <w:rPr>
          <w:rStyle w:val="ui-provider"/>
          <w:i/>
          <w:iCs/>
          <w:sz w:val="22"/>
          <w:szCs w:val="22"/>
        </w:rPr>
        <w:t>de jaar</w:t>
      </w:r>
      <w:r w:rsidR="00243A76" w:rsidRPr="0080472E">
        <w:rPr>
          <w:rStyle w:val="ui-provider"/>
          <w:i/>
          <w:iCs/>
          <w:sz w:val="22"/>
          <w:szCs w:val="22"/>
        </w:rPr>
        <w:t>omzet onder de</w:t>
      </w:r>
      <w:r w:rsidR="00676CBE" w:rsidRPr="0080472E">
        <w:rPr>
          <w:rStyle w:val="ui-provider"/>
          <w:i/>
          <w:iCs/>
          <w:sz w:val="22"/>
          <w:szCs w:val="22"/>
        </w:rPr>
        <w:t xml:space="preserve"> hierboven </w:t>
      </w:r>
      <w:r w:rsidR="00250272" w:rsidRPr="0080472E">
        <w:rPr>
          <w:rStyle w:val="ui-provider"/>
          <w:i/>
          <w:iCs/>
          <w:sz w:val="22"/>
          <w:szCs w:val="22"/>
        </w:rPr>
        <w:t>g</w:t>
      </w:r>
      <w:r w:rsidR="00676CBE" w:rsidRPr="0080472E">
        <w:rPr>
          <w:rStyle w:val="ui-provider"/>
          <w:i/>
          <w:iCs/>
          <w:sz w:val="22"/>
          <w:szCs w:val="22"/>
        </w:rPr>
        <w:t>enoemde</w:t>
      </w:r>
      <w:r w:rsidR="00243A76" w:rsidRPr="0080472E">
        <w:rPr>
          <w:rStyle w:val="ui-provider"/>
          <w:i/>
          <w:iCs/>
          <w:sz w:val="22"/>
          <w:szCs w:val="22"/>
        </w:rPr>
        <w:t xml:space="preserve"> drempels vallen</w:t>
      </w:r>
      <w:r w:rsidRPr="0080472E">
        <w:rPr>
          <w:rStyle w:val="ui-provider"/>
          <w:i/>
          <w:iCs/>
          <w:sz w:val="22"/>
          <w:szCs w:val="22"/>
        </w:rPr>
        <w:t xml:space="preserve">. </w:t>
      </w:r>
      <w:r w:rsidR="6B372CF3" w:rsidRPr="0080472E">
        <w:rPr>
          <w:rStyle w:val="ui-provider"/>
          <w:i/>
          <w:iCs/>
          <w:sz w:val="22"/>
          <w:szCs w:val="22"/>
        </w:rPr>
        <w:t xml:space="preserve">We richten ons met deze oproep echter bewust op organisaties met meer dan 10 VTE. </w:t>
      </w:r>
      <w:r w:rsidR="2D5CB570" w:rsidRPr="0080472E">
        <w:rPr>
          <w:rStyle w:val="ui-provider"/>
          <w:i/>
          <w:iCs/>
          <w:sz w:val="22"/>
          <w:szCs w:val="22"/>
        </w:rPr>
        <w:t xml:space="preserve">Zie ook de oproepfiche op p. 19: ‘Binnen deze oproep ligt de nadruk op het zo effectief mogelijk organiseren van het afstemmen over het werk dat moet gebeuren binnen een organisatie. Hoe meer teams een organisatie heeft, hoe groter de kans op afstemmingsproblemen. Binnen micro-ondernemingen is er minder kans dat er meerdere teams aanwezig zijn en dus minder kans op dergelijke afstemmingsproblemen. Hierdoor zullen ze minder gebaat zijn met een project binnen deze oproep dan grotere organisaties waarin het werk verdeeld is tussen meerdere teams (en afdelingen). Kleinere organisaties zullen meer gebaat zijn in het op een goede manier ondersteunen van hun medewerkers opdat zij op de juiste manier gemotiveerd worden’. </w:t>
      </w:r>
    </w:p>
    <w:p w14:paraId="33110822" w14:textId="60FD3401" w:rsidR="001B6597" w:rsidRPr="0080472E" w:rsidRDefault="0009253C" w:rsidP="00A51513">
      <w:pPr>
        <w:pStyle w:val="Lijstalinea"/>
        <w:numPr>
          <w:ilvl w:val="0"/>
          <w:numId w:val="3"/>
        </w:numPr>
        <w:ind w:hanging="294"/>
        <w:jc w:val="both"/>
        <w:rPr>
          <w:rStyle w:val="ui-provider"/>
          <w:i/>
          <w:iCs/>
          <w:sz w:val="22"/>
          <w:szCs w:val="22"/>
        </w:rPr>
      </w:pPr>
      <w:r w:rsidRPr="0080472E">
        <w:rPr>
          <w:rStyle w:val="ui-provider"/>
          <w:i/>
          <w:iCs/>
          <w:sz w:val="22"/>
          <w:szCs w:val="22"/>
        </w:rPr>
        <w:t>Een partnerschap is niet mogelijk</w:t>
      </w:r>
      <w:r w:rsidR="00FD376F" w:rsidRPr="0080472E">
        <w:rPr>
          <w:rStyle w:val="ui-provider"/>
          <w:i/>
          <w:iCs/>
          <w:sz w:val="22"/>
          <w:szCs w:val="22"/>
        </w:rPr>
        <w:t xml:space="preserve"> binnen deze oproep</w:t>
      </w:r>
      <w:r w:rsidRPr="0080472E">
        <w:rPr>
          <w:rStyle w:val="ui-provider"/>
          <w:i/>
          <w:iCs/>
          <w:sz w:val="22"/>
          <w:szCs w:val="22"/>
        </w:rPr>
        <w:t>. Het moet telkens over 1 organisatie gaan die een projectaanvraag indient voor een traject binnen de eigen organisatie.  </w:t>
      </w:r>
    </w:p>
    <w:p w14:paraId="6470E319" w14:textId="77777777" w:rsidR="00FA49C1" w:rsidRPr="0080472E" w:rsidRDefault="00FA49C1" w:rsidP="00FA49C1">
      <w:pPr>
        <w:pStyle w:val="Lijstalinea"/>
        <w:jc w:val="both"/>
        <w:rPr>
          <w:rStyle w:val="ui-provider"/>
          <w:i/>
          <w:iCs/>
          <w:sz w:val="22"/>
          <w:szCs w:val="22"/>
        </w:rPr>
      </w:pPr>
    </w:p>
    <w:p w14:paraId="441F4737" w14:textId="77777777" w:rsidR="002736BA" w:rsidRPr="0080472E" w:rsidRDefault="002736BA" w:rsidP="002736BA">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Wordt het aantal werkzame personen over een deelwerking bekeken of over de volledige organisatie? </w:t>
      </w:r>
    </w:p>
    <w:p w14:paraId="42854A8F" w14:textId="5E568D14" w:rsidR="00504481" w:rsidRPr="0080472E" w:rsidRDefault="002736BA" w:rsidP="009941D4">
      <w:pPr>
        <w:pStyle w:val="Lijstalinea"/>
        <w:numPr>
          <w:ilvl w:val="0"/>
          <w:numId w:val="3"/>
        </w:numPr>
        <w:rPr>
          <w:rStyle w:val="ui-provider"/>
          <w:i/>
          <w:iCs/>
          <w:sz w:val="22"/>
          <w:szCs w:val="22"/>
        </w:rPr>
      </w:pPr>
      <w:r w:rsidRPr="0080472E">
        <w:rPr>
          <w:rStyle w:val="ui-provider"/>
          <w:i/>
          <w:iCs/>
          <w:sz w:val="22"/>
          <w:szCs w:val="22"/>
        </w:rPr>
        <w:t xml:space="preserve">Er wordt op </w:t>
      </w:r>
      <w:r w:rsidR="00A84658" w:rsidRPr="0080472E">
        <w:rPr>
          <w:rStyle w:val="ui-provider"/>
          <w:i/>
          <w:iCs/>
          <w:sz w:val="22"/>
          <w:szCs w:val="22"/>
        </w:rPr>
        <w:t>ondernemingsniveau</w:t>
      </w:r>
      <w:r w:rsidRPr="0080472E">
        <w:rPr>
          <w:rStyle w:val="ui-provider"/>
          <w:i/>
          <w:iCs/>
          <w:sz w:val="22"/>
          <w:szCs w:val="22"/>
        </w:rPr>
        <w:t xml:space="preserve"> bekeken of er voldaan wordt aan de Europese kmo-definitie. Stel dat de </w:t>
      </w:r>
      <w:r w:rsidR="00A84658" w:rsidRPr="0080472E">
        <w:rPr>
          <w:rStyle w:val="ui-provider"/>
          <w:i/>
          <w:iCs/>
          <w:sz w:val="22"/>
          <w:szCs w:val="22"/>
        </w:rPr>
        <w:t>onderneming</w:t>
      </w:r>
      <w:r w:rsidRPr="0080472E">
        <w:rPr>
          <w:rStyle w:val="ui-provider"/>
          <w:i/>
          <w:iCs/>
          <w:sz w:val="22"/>
          <w:szCs w:val="22"/>
        </w:rPr>
        <w:t xml:space="preserve"> de drempel van 250 VTE werkzame personen overschrijdt, dan komt de </w:t>
      </w:r>
      <w:r w:rsidR="00A84658" w:rsidRPr="0080472E">
        <w:rPr>
          <w:rStyle w:val="ui-provider"/>
          <w:i/>
          <w:iCs/>
          <w:sz w:val="22"/>
          <w:szCs w:val="22"/>
        </w:rPr>
        <w:t>onderneming</w:t>
      </w:r>
      <w:r w:rsidRPr="0080472E">
        <w:rPr>
          <w:rStyle w:val="ui-provider"/>
          <w:i/>
          <w:iCs/>
          <w:sz w:val="22"/>
          <w:szCs w:val="22"/>
        </w:rPr>
        <w:t xml:space="preserve"> niet in aanmerking (zelfs als het beoogde project een kleinere groep medewerkers als focus heeft). </w:t>
      </w:r>
    </w:p>
    <w:p w14:paraId="768EF689" w14:textId="77777777" w:rsidR="009941D4" w:rsidRPr="0080472E" w:rsidRDefault="009941D4" w:rsidP="009941D4">
      <w:pPr>
        <w:pStyle w:val="Lijstalinea"/>
        <w:rPr>
          <w:rStyle w:val="ui-provider"/>
          <w:i/>
          <w:iCs/>
          <w:sz w:val="22"/>
          <w:szCs w:val="22"/>
        </w:rPr>
      </w:pPr>
    </w:p>
    <w:p w14:paraId="6A7854C8" w14:textId="70152CF4" w:rsidR="00705229" w:rsidRPr="0080472E" w:rsidRDefault="00705229" w:rsidP="00D1669F">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Komen </w:t>
      </w:r>
      <w:r w:rsidR="00224E0E" w:rsidRPr="0080472E">
        <w:rPr>
          <w:rStyle w:val="ui-provider"/>
          <w:sz w:val="22"/>
          <w:szCs w:val="22"/>
          <w:u w:val="single"/>
        </w:rPr>
        <w:t>woonzorgcentra en v</w:t>
      </w:r>
      <w:r w:rsidR="00713881" w:rsidRPr="0080472E">
        <w:rPr>
          <w:rStyle w:val="ui-provider"/>
          <w:sz w:val="22"/>
          <w:szCs w:val="22"/>
          <w:u w:val="single"/>
        </w:rPr>
        <w:t>zw’s</w:t>
      </w:r>
      <w:r w:rsidRPr="0080472E">
        <w:rPr>
          <w:rStyle w:val="ui-provider"/>
          <w:sz w:val="22"/>
          <w:szCs w:val="22"/>
          <w:u w:val="single"/>
        </w:rPr>
        <w:t xml:space="preserve"> </w:t>
      </w:r>
      <w:r w:rsidR="00E67AB5" w:rsidRPr="0080472E">
        <w:rPr>
          <w:rStyle w:val="ui-provider"/>
          <w:sz w:val="22"/>
          <w:szCs w:val="22"/>
          <w:u w:val="single"/>
        </w:rPr>
        <w:t xml:space="preserve">ook in aanmerking voor de oproep Anders Organiseren? </w:t>
      </w:r>
    </w:p>
    <w:p w14:paraId="702A5472" w14:textId="05446042" w:rsidR="00D355E8" w:rsidRPr="0080472E" w:rsidRDefault="00126150" w:rsidP="005E77C2">
      <w:pPr>
        <w:pStyle w:val="Lijstalinea"/>
        <w:numPr>
          <w:ilvl w:val="0"/>
          <w:numId w:val="9"/>
        </w:numPr>
        <w:spacing w:after="0" w:line="240" w:lineRule="auto"/>
        <w:contextualSpacing w:val="0"/>
        <w:jc w:val="both"/>
        <w:rPr>
          <w:rFonts w:eastAsia="Times New Roman" w:cs="Calibri"/>
          <w:i/>
          <w:iCs/>
          <w:sz w:val="22"/>
          <w:szCs w:val="22"/>
        </w:rPr>
      </w:pPr>
      <w:r w:rsidRPr="0080472E">
        <w:rPr>
          <w:rStyle w:val="ui-provider"/>
          <w:i/>
          <w:iCs/>
          <w:sz w:val="22"/>
          <w:szCs w:val="22"/>
        </w:rPr>
        <w:t xml:space="preserve">Woonzorgcentra en </w:t>
      </w:r>
      <w:r w:rsidR="00D355E8" w:rsidRPr="0080472E">
        <w:rPr>
          <w:rStyle w:val="ui-provider"/>
          <w:i/>
          <w:iCs/>
          <w:sz w:val="22"/>
          <w:szCs w:val="22"/>
        </w:rPr>
        <w:t xml:space="preserve">vzw’s kunnen </w:t>
      </w:r>
      <w:r w:rsidRPr="0080472E">
        <w:rPr>
          <w:rStyle w:val="ui-provider"/>
          <w:i/>
          <w:iCs/>
          <w:sz w:val="22"/>
          <w:szCs w:val="22"/>
        </w:rPr>
        <w:t xml:space="preserve">zeker </w:t>
      </w:r>
      <w:r w:rsidR="00D355E8" w:rsidRPr="0080472E">
        <w:rPr>
          <w:rStyle w:val="ui-provider"/>
          <w:i/>
          <w:iCs/>
          <w:sz w:val="22"/>
          <w:szCs w:val="22"/>
        </w:rPr>
        <w:t>indienen in deze oproep</w:t>
      </w:r>
      <w:r w:rsidRPr="0080472E">
        <w:rPr>
          <w:rStyle w:val="ui-provider"/>
          <w:i/>
          <w:iCs/>
          <w:sz w:val="22"/>
          <w:szCs w:val="22"/>
        </w:rPr>
        <w:t xml:space="preserve"> voor zover ze voldoen</w:t>
      </w:r>
      <w:r w:rsidR="00C3293A" w:rsidRPr="0080472E">
        <w:rPr>
          <w:rStyle w:val="ui-provider"/>
          <w:i/>
          <w:iCs/>
          <w:sz w:val="22"/>
          <w:szCs w:val="22"/>
        </w:rPr>
        <w:t xml:space="preserve"> aan de Europese kmo-definitie en geen micro-onderneming zijn</w:t>
      </w:r>
      <w:r w:rsidR="00D355E8" w:rsidRPr="0080472E">
        <w:rPr>
          <w:rStyle w:val="ui-provider"/>
          <w:i/>
          <w:iCs/>
          <w:sz w:val="22"/>
          <w:szCs w:val="22"/>
        </w:rPr>
        <w:t xml:space="preserve">. </w:t>
      </w:r>
      <w:r w:rsidR="005E77C2" w:rsidRPr="0080472E">
        <w:rPr>
          <w:rStyle w:val="ui-provider"/>
          <w:i/>
          <w:iCs/>
          <w:sz w:val="22"/>
          <w:szCs w:val="22"/>
        </w:rPr>
        <w:t xml:space="preserve">Verder mag de organisatie ook geen overheid zijn. </w:t>
      </w:r>
    </w:p>
    <w:p w14:paraId="2D9B7C76" w14:textId="77777777" w:rsidR="00B60AF5" w:rsidRPr="0080472E" w:rsidRDefault="00B60AF5" w:rsidP="00B60AF5">
      <w:pPr>
        <w:pStyle w:val="Lijstalinea"/>
        <w:spacing w:after="0" w:line="240" w:lineRule="auto"/>
        <w:ind w:left="1440"/>
        <w:contextualSpacing w:val="0"/>
        <w:jc w:val="both"/>
        <w:rPr>
          <w:rFonts w:eastAsia="Times New Roman" w:cs="Calibri"/>
          <w:i/>
          <w:iCs/>
          <w:sz w:val="22"/>
          <w:szCs w:val="22"/>
        </w:rPr>
      </w:pPr>
    </w:p>
    <w:p w14:paraId="531EB0EA" w14:textId="099355B6" w:rsidR="00AA42C8" w:rsidRPr="0080472E" w:rsidRDefault="00D355E8" w:rsidP="00AA42C8">
      <w:pPr>
        <w:ind w:firstLine="708"/>
        <w:jc w:val="both"/>
        <w:rPr>
          <w:rFonts w:cs="Calibri"/>
          <w:i/>
          <w:iCs/>
          <w:sz w:val="22"/>
          <w:szCs w:val="22"/>
        </w:rPr>
      </w:pPr>
      <w:r w:rsidRPr="0080472E">
        <w:rPr>
          <w:rFonts w:cs="Calibri"/>
          <w:i/>
          <w:iCs/>
          <w:sz w:val="22"/>
          <w:szCs w:val="22"/>
        </w:rPr>
        <w:t xml:space="preserve">Wij hanteren volgende definities: </w:t>
      </w:r>
    </w:p>
    <w:p w14:paraId="5CC8EDF6" w14:textId="4C1373F0" w:rsidR="00D355E8" w:rsidRPr="0080472E" w:rsidRDefault="00670475" w:rsidP="00AA42C8">
      <w:pPr>
        <w:ind w:left="709"/>
        <w:jc w:val="both"/>
        <w:rPr>
          <w:rFonts w:cs="Calibri"/>
          <w:i/>
          <w:iCs/>
          <w:sz w:val="22"/>
          <w:szCs w:val="22"/>
        </w:rPr>
      </w:pPr>
      <w:r w:rsidRPr="0080472E">
        <w:rPr>
          <w:rFonts w:cs="Calibri"/>
          <w:i/>
          <w:iCs/>
          <w:sz w:val="22"/>
          <w:szCs w:val="22"/>
        </w:rPr>
        <w:t>De organisatie moet voldoen aan de</w:t>
      </w:r>
      <w:r w:rsidR="00D355E8" w:rsidRPr="0080472E">
        <w:rPr>
          <w:rFonts w:cs="Calibri"/>
          <w:i/>
          <w:iCs/>
          <w:sz w:val="22"/>
          <w:szCs w:val="22"/>
        </w:rPr>
        <w:t xml:space="preserve"> </w:t>
      </w:r>
      <w:r w:rsidR="00D355E8" w:rsidRPr="0080472E">
        <w:rPr>
          <w:rFonts w:cs="Calibri"/>
          <w:i/>
          <w:iCs/>
          <w:sz w:val="22"/>
          <w:szCs w:val="22"/>
          <w:u w:val="single"/>
        </w:rPr>
        <w:t xml:space="preserve">Europese </w:t>
      </w:r>
      <w:r w:rsidR="009946AC" w:rsidRPr="0080472E">
        <w:rPr>
          <w:rFonts w:cs="Calibri"/>
          <w:i/>
          <w:iCs/>
          <w:sz w:val="22"/>
          <w:szCs w:val="22"/>
          <w:u w:val="single"/>
        </w:rPr>
        <w:t>kmo</w:t>
      </w:r>
      <w:r w:rsidR="00D355E8" w:rsidRPr="0080472E">
        <w:rPr>
          <w:rFonts w:cs="Calibri"/>
          <w:i/>
          <w:iCs/>
          <w:sz w:val="22"/>
          <w:szCs w:val="22"/>
          <w:u w:val="single"/>
        </w:rPr>
        <w:t>-definitie</w:t>
      </w:r>
      <w:r w:rsidRPr="0080472E">
        <w:rPr>
          <w:rFonts w:cs="Calibri"/>
          <w:i/>
          <w:iCs/>
          <w:sz w:val="22"/>
          <w:szCs w:val="22"/>
        </w:rPr>
        <w:t>, zie daarvoor vraag 1 in deze FAQ. Micro-ondernemingen zijn uitgesloten.</w:t>
      </w:r>
      <w:r w:rsidR="00D355E8" w:rsidRPr="0080472E">
        <w:rPr>
          <w:rFonts w:cs="Calibri"/>
          <w:i/>
          <w:iCs/>
          <w:sz w:val="22"/>
          <w:szCs w:val="22"/>
        </w:rPr>
        <w:t xml:space="preserve"> </w:t>
      </w:r>
      <w:r w:rsidRPr="0080472E">
        <w:rPr>
          <w:rFonts w:cs="Calibri"/>
          <w:i/>
          <w:iCs/>
          <w:sz w:val="22"/>
          <w:szCs w:val="22"/>
        </w:rPr>
        <w:t>We onderscheiden volgende</w:t>
      </w:r>
      <w:r w:rsidR="00D355E8" w:rsidRPr="0080472E">
        <w:rPr>
          <w:rFonts w:cs="Calibri"/>
          <w:i/>
          <w:iCs/>
          <w:sz w:val="22"/>
          <w:szCs w:val="22"/>
        </w:rPr>
        <w:t xml:space="preserve"> categorieën:</w:t>
      </w:r>
      <w:r w:rsidR="007217FB" w:rsidRPr="0080472E">
        <w:rPr>
          <w:rFonts w:cs="Calibri"/>
          <w:i/>
          <w:iCs/>
          <w:sz w:val="22"/>
          <w:szCs w:val="22"/>
        </w:rPr>
        <w:t xml:space="preserve"> </w:t>
      </w:r>
    </w:p>
    <w:p w14:paraId="235DD142" w14:textId="77777777" w:rsidR="00D355E8" w:rsidRPr="0080472E" w:rsidRDefault="00D355E8" w:rsidP="00D1669F">
      <w:pPr>
        <w:pStyle w:val="Lijstalinea"/>
        <w:numPr>
          <w:ilvl w:val="0"/>
          <w:numId w:val="10"/>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lastRenderedPageBreak/>
        <w:t>Een middelgrote onderneming heeft tot 250 werknemers, een omzet van ten hoogste 50 miljoen euro en een balanstotaal van ten hoogste 43 miljoen euro;</w:t>
      </w:r>
    </w:p>
    <w:p w14:paraId="6131911D" w14:textId="77777777" w:rsidR="00D355E8" w:rsidRPr="0080472E" w:rsidRDefault="00D355E8" w:rsidP="00D1669F">
      <w:pPr>
        <w:pStyle w:val="Lijstalinea"/>
        <w:numPr>
          <w:ilvl w:val="0"/>
          <w:numId w:val="10"/>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Een kleine onderneming heeft tot 50 werknemers en een omzet of een balanstotaal van ten hoogste 10 miljoen euro;</w:t>
      </w:r>
    </w:p>
    <w:p w14:paraId="4598F1F5" w14:textId="77777777" w:rsidR="00D355E8" w:rsidRPr="0080472E" w:rsidRDefault="00D355E8" w:rsidP="00D1669F">
      <w:pPr>
        <w:pStyle w:val="Lijstalinea"/>
        <w:numPr>
          <w:ilvl w:val="0"/>
          <w:numId w:val="10"/>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Een micro-onderneming heeft tot 10 werknemers en een omzet of een balanstotaal van ten hoogste 2 miljoen euro. Micro-ondernemingen kunnen geen project indienen in deze oproep.</w:t>
      </w:r>
    </w:p>
    <w:p w14:paraId="00DF1693" w14:textId="77777777" w:rsidR="007217FB" w:rsidRPr="0080472E" w:rsidRDefault="007217FB" w:rsidP="007217FB">
      <w:pPr>
        <w:pStyle w:val="Lijstalinea"/>
        <w:spacing w:after="0" w:line="240" w:lineRule="auto"/>
        <w:ind w:left="1068"/>
        <w:contextualSpacing w:val="0"/>
        <w:jc w:val="both"/>
        <w:rPr>
          <w:rFonts w:eastAsia="Times New Roman" w:cs="Calibri"/>
          <w:i/>
          <w:iCs/>
          <w:sz w:val="22"/>
          <w:szCs w:val="22"/>
        </w:rPr>
      </w:pPr>
    </w:p>
    <w:p w14:paraId="349C6422" w14:textId="2C71D2D6" w:rsidR="00D355E8" w:rsidRPr="0080472E" w:rsidRDefault="00670475" w:rsidP="00670475">
      <w:pPr>
        <w:ind w:left="708"/>
        <w:jc w:val="both"/>
        <w:rPr>
          <w:rFonts w:cs="Calibri"/>
          <w:i/>
          <w:iCs/>
          <w:sz w:val="22"/>
          <w:szCs w:val="22"/>
        </w:rPr>
      </w:pPr>
      <w:r w:rsidRPr="0080472E">
        <w:rPr>
          <w:rFonts w:cs="Calibri"/>
          <w:i/>
          <w:iCs/>
          <w:sz w:val="22"/>
          <w:szCs w:val="22"/>
        </w:rPr>
        <w:t>De organisatie mag geen overheid zijn. W</w:t>
      </w:r>
      <w:r w:rsidR="00D355E8" w:rsidRPr="0080472E">
        <w:rPr>
          <w:rFonts w:cs="Calibri"/>
          <w:i/>
          <w:iCs/>
          <w:sz w:val="22"/>
          <w:szCs w:val="22"/>
        </w:rPr>
        <w:t xml:space="preserve">e beschouwen minstens volgende organisaties als </w:t>
      </w:r>
      <w:r w:rsidR="00D355E8" w:rsidRPr="0080472E">
        <w:rPr>
          <w:rFonts w:cs="Calibri"/>
          <w:i/>
          <w:iCs/>
          <w:sz w:val="22"/>
          <w:szCs w:val="22"/>
          <w:u w:val="single"/>
        </w:rPr>
        <w:t>overheidsadministratie of -dienst</w:t>
      </w:r>
      <w:r w:rsidR="00D355E8" w:rsidRPr="0080472E">
        <w:rPr>
          <w:rFonts w:cs="Calibri"/>
          <w:i/>
          <w:iCs/>
          <w:sz w:val="22"/>
          <w:szCs w:val="22"/>
        </w:rPr>
        <w:t>:</w:t>
      </w:r>
    </w:p>
    <w:p w14:paraId="6EBA4AC2" w14:textId="77777777" w:rsidR="00D355E8" w:rsidRPr="0080472E" w:rsidRDefault="00D355E8" w:rsidP="00D1669F">
      <w:pPr>
        <w:pStyle w:val="Lijstalinea"/>
        <w:numPr>
          <w:ilvl w:val="0"/>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De federale staat en diens organisaties (zoals de federale overheidsdiensten (</w:t>
      </w:r>
      <w:proofErr w:type="spellStart"/>
      <w:r w:rsidRPr="0080472E">
        <w:rPr>
          <w:rFonts w:eastAsia="Times New Roman" w:cs="Calibri"/>
          <w:i/>
          <w:iCs/>
          <w:sz w:val="22"/>
          <w:szCs w:val="22"/>
        </w:rPr>
        <w:t>FOD's</w:t>
      </w:r>
      <w:proofErr w:type="spellEnd"/>
      <w:r w:rsidRPr="0080472E">
        <w:rPr>
          <w:rFonts w:eastAsia="Times New Roman" w:cs="Calibri"/>
          <w:i/>
          <w:iCs/>
          <w:sz w:val="22"/>
          <w:szCs w:val="22"/>
        </w:rPr>
        <w:t>) en het ministerie van Defensie, de programmatorische overheidsdiensten (</w:t>
      </w:r>
      <w:proofErr w:type="spellStart"/>
      <w:r w:rsidRPr="0080472E">
        <w:rPr>
          <w:rFonts w:eastAsia="Times New Roman" w:cs="Calibri"/>
          <w:i/>
          <w:iCs/>
          <w:sz w:val="22"/>
          <w:szCs w:val="22"/>
        </w:rPr>
        <w:t>POD's</w:t>
      </w:r>
      <w:proofErr w:type="spellEnd"/>
      <w:r w:rsidRPr="0080472E">
        <w:rPr>
          <w:rFonts w:eastAsia="Times New Roman" w:cs="Calibri"/>
          <w:i/>
          <w:iCs/>
          <w:sz w:val="22"/>
          <w:szCs w:val="22"/>
        </w:rPr>
        <w:t>), de wetenschappelijke instellingen (zoals het KMI), De meeste federale instellingen van openbaar nut (zeker als ze onder gezag van een bevoegde minister vallen), de openbare instellingen van sociale zekerheid (OISZ), …)</w:t>
      </w:r>
    </w:p>
    <w:p w14:paraId="7BD2EF95" w14:textId="77777777" w:rsidR="00D355E8" w:rsidRPr="0080472E" w:rsidRDefault="00D355E8" w:rsidP="00D1669F">
      <w:pPr>
        <w:pStyle w:val="Lijstalinea"/>
        <w:numPr>
          <w:ilvl w:val="0"/>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 xml:space="preserve">Gemeenschappen en gewesten en hun organisaties (zoals de departementen, </w:t>
      </w:r>
      <w:proofErr w:type="spellStart"/>
      <w:r w:rsidRPr="0080472E">
        <w:rPr>
          <w:rFonts w:eastAsia="Times New Roman" w:cs="Calibri"/>
          <w:i/>
          <w:iCs/>
          <w:sz w:val="22"/>
          <w:szCs w:val="22"/>
        </w:rPr>
        <w:t>IVA’s</w:t>
      </w:r>
      <w:proofErr w:type="spellEnd"/>
      <w:r w:rsidRPr="0080472E">
        <w:rPr>
          <w:rFonts w:eastAsia="Times New Roman" w:cs="Calibri"/>
          <w:i/>
          <w:iCs/>
          <w:sz w:val="22"/>
          <w:szCs w:val="22"/>
        </w:rPr>
        <w:t xml:space="preserve"> en publiek en privaatrechtelijke </w:t>
      </w:r>
      <w:proofErr w:type="spellStart"/>
      <w:r w:rsidRPr="0080472E">
        <w:rPr>
          <w:rFonts w:eastAsia="Times New Roman" w:cs="Calibri"/>
          <w:i/>
          <w:iCs/>
          <w:sz w:val="22"/>
          <w:szCs w:val="22"/>
        </w:rPr>
        <w:t>EVA’s</w:t>
      </w:r>
      <w:proofErr w:type="spellEnd"/>
      <w:r w:rsidRPr="0080472E">
        <w:rPr>
          <w:rFonts w:eastAsia="Times New Roman" w:cs="Calibri"/>
          <w:i/>
          <w:iCs/>
          <w:sz w:val="22"/>
          <w:szCs w:val="22"/>
        </w:rPr>
        <w:t>)</w:t>
      </w:r>
    </w:p>
    <w:p w14:paraId="663E11C0" w14:textId="77777777" w:rsidR="00D355E8" w:rsidRPr="0080472E" w:rsidRDefault="00D355E8" w:rsidP="00D1669F">
      <w:pPr>
        <w:pStyle w:val="Lijstalinea"/>
        <w:numPr>
          <w:ilvl w:val="0"/>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 xml:space="preserve">Provincies, steden en gemeenten en hun lokale besturen (zoals </w:t>
      </w:r>
      <w:proofErr w:type="spellStart"/>
      <w:r w:rsidRPr="0080472E">
        <w:rPr>
          <w:rFonts w:eastAsia="Times New Roman" w:cs="Calibri"/>
          <w:i/>
          <w:iCs/>
          <w:sz w:val="22"/>
          <w:szCs w:val="22"/>
        </w:rPr>
        <w:t>OCMW’s</w:t>
      </w:r>
      <w:proofErr w:type="spellEnd"/>
      <w:r w:rsidRPr="0080472E">
        <w:rPr>
          <w:rFonts w:eastAsia="Times New Roman" w:cs="Calibri"/>
          <w:i/>
          <w:iCs/>
          <w:sz w:val="22"/>
          <w:szCs w:val="22"/>
        </w:rPr>
        <w:t>)</w:t>
      </w:r>
    </w:p>
    <w:p w14:paraId="763BDEDE" w14:textId="77777777" w:rsidR="00D355E8" w:rsidRPr="0080472E" w:rsidRDefault="00D355E8" w:rsidP="00D1669F">
      <w:pPr>
        <w:pStyle w:val="Lijstalinea"/>
        <w:numPr>
          <w:ilvl w:val="0"/>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Rechtspersonen</w:t>
      </w:r>
    </w:p>
    <w:p w14:paraId="71E1EEF8" w14:textId="6850C5C4" w:rsidR="00D355E8" w:rsidRPr="0080472E" w:rsidRDefault="00D355E8" w:rsidP="00D1669F">
      <w:pPr>
        <w:pStyle w:val="Lijstalinea"/>
        <w:numPr>
          <w:ilvl w:val="1"/>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 xml:space="preserve">Waarbij meer dan de helft van de leden van het bestuurs-, leidinggevende of toezichthoudende orgaan aangewezen zijn door de hierboven beschreven overheden (Onder deze categorie kunnen bijvoorbeeld vallen: intercommunales, </w:t>
      </w:r>
      <w:r w:rsidR="00D1669F" w:rsidRPr="0080472E">
        <w:rPr>
          <w:rFonts w:eastAsia="Times New Roman" w:cs="Calibri"/>
          <w:i/>
          <w:iCs/>
          <w:sz w:val="22"/>
          <w:szCs w:val="22"/>
        </w:rPr>
        <w:t>opdracht houdende</w:t>
      </w:r>
      <w:r w:rsidRPr="0080472E">
        <w:rPr>
          <w:rFonts w:eastAsia="Times New Roman" w:cs="Calibri"/>
          <w:i/>
          <w:iCs/>
          <w:sz w:val="22"/>
          <w:szCs w:val="22"/>
        </w:rPr>
        <w:t xml:space="preserve"> verenigingen, …)</w:t>
      </w:r>
    </w:p>
    <w:p w14:paraId="039997E8" w14:textId="77777777" w:rsidR="00D355E8" w:rsidRPr="0080472E" w:rsidRDefault="00D355E8" w:rsidP="00D1669F">
      <w:pPr>
        <w:pStyle w:val="Lijstalinea"/>
        <w:numPr>
          <w:ilvl w:val="1"/>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Of waarbij hun beheer onderworpen is aan het toezicht van de Staat, de Gewesten, de Gemeenschappen, de lokale overheidsinstanties of andere instellingen of personen die ressorteren onder de hierboven beschreven overheden</w:t>
      </w:r>
    </w:p>
    <w:p w14:paraId="38D75740" w14:textId="7DBFD14F" w:rsidR="00D1669F" w:rsidRPr="0080472E" w:rsidRDefault="00D355E8" w:rsidP="00D1669F">
      <w:pPr>
        <w:pStyle w:val="Lijstalinea"/>
        <w:numPr>
          <w:ilvl w:val="0"/>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Publiekrechtelijke rechtspersonen</w:t>
      </w:r>
      <w:r w:rsidR="00D1669F" w:rsidRPr="0080472E">
        <w:rPr>
          <w:rFonts w:eastAsia="Times New Roman" w:cs="Calibri"/>
          <w:i/>
          <w:iCs/>
          <w:sz w:val="22"/>
          <w:szCs w:val="22"/>
        </w:rPr>
        <w:t xml:space="preserve"> </w:t>
      </w:r>
    </w:p>
    <w:p w14:paraId="7E1A351C" w14:textId="42CDAD20" w:rsidR="00E67AB5" w:rsidRPr="0080472E" w:rsidRDefault="00D355E8" w:rsidP="00D1669F">
      <w:pPr>
        <w:pStyle w:val="Lijstalinea"/>
        <w:numPr>
          <w:ilvl w:val="0"/>
          <w:numId w:val="11"/>
        </w:numPr>
        <w:spacing w:after="0" w:line="240" w:lineRule="auto"/>
        <w:contextualSpacing w:val="0"/>
        <w:jc w:val="both"/>
        <w:rPr>
          <w:rFonts w:eastAsia="Times New Roman" w:cs="Calibri"/>
          <w:i/>
          <w:iCs/>
          <w:sz w:val="22"/>
          <w:szCs w:val="22"/>
        </w:rPr>
      </w:pPr>
      <w:r w:rsidRPr="0080472E">
        <w:rPr>
          <w:rFonts w:eastAsia="Times New Roman" w:cs="Calibri"/>
          <w:i/>
          <w:iCs/>
          <w:sz w:val="22"/>
          <w:szCs w:val="22"/>
        </w:rPr>
        <w:t>Scholen (kleuterscholen, basisscholen, hogescholen, universiteiten)</w:t>
      </w:r>
      <w:r w:rsidR="00D1669F" w:rsidRPr="0080472E">
        <w:rPr>
          <w:rFonts w:eastAsia="Times New Roman" w:cs="Calibri"/>
          <w:i/>
          <w:iCs/>
          <w:sz w:val="22"/>
          <w:szCs w:val="22"/>
        </w:rPr>
        <w:t xml:space="preserve"> </w:t>
      </w:r>
    </w:p>
    <w:p w14:paraId="014D50B5" w14:textId="77777777" w:rsidR="006C7E20" w:rsidRPr="0080472E" w:rsidRDefault="006C7E20" w:rsidP="006C7E20">
      <w:pPr>
        <w:pStyle w:val="Lijstalinea"/>
        <w:spacing w:after="0" w:line="240" w:lineRule="auto"/>
        <w:ind w:left="1068"/>
        <w:contextualSpacing w:val="0"/>
        <w:jc w:val="both"/>
        <w:rPr>
          <w:rFonts w:eastAsia="Times New Roman" w:cs="Calibri"/>
          <w:i/>
          <w:iCs/>
          <w:sz w:val="22"/>
          <w:szCs w:val="22"/>
        </w:rPr>
      </w:pPr>
    </w:p>
    <w:p w14:paraId="3AF5308E" w14:textId="77777777" w:rsidR="006C7E20" w:rsidRPr="0080472E" w:rsidRDefault="006C7E20" w:rsidP="006C7E20">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Komen vzw's gesubsidieerd door VAPH in aanmerking? Of telkens te bevragen via KBO-nummer? </w:t>
      </w:r>
    </w:p>
    <w:p w14:paraId="6B54873B" w14:textId="77777777" w:rsidR="006C7E20" w:rsidRPr="0080472E" w:rsidRDefault="006C7E20" w:rsidP="006C7E20">
      <w:pPr>
        <w:pStyle w:val="Lijstalinea"/>
        <w:numPr>
          <w:ilvl w:val="0"/>
          <w:numId w:val="3"/>
        </w:numPr>
        <w:ind w:hanging="294"/>
        <w:jc w:val="both"/>
        <w:rPr>
          <w:rStyle w:val="ui-provider"/>
          <w:i/>
          <w:iCs/>
          <w:sz w:val="22"/>
          <w:szCs w:val="22"/>
        </w:rPr>
      </w:pPr>
      <w:r w:rsidRPr="0080472E">
        <w:rPr>
          <w:rStyle w:val="ui-provider"/>
          <w:i/>
          <w:iCs/>
          <w:sz w:val="22"/>
          <w:szCs w:val="22"/>
        </w:rPr>
        <w:t xml:space="preserve">Ook hier moet gekeken worden of deze organisatie voldoet aan de Europese kmo-definitie en/of de organisatie geen overheid is. </w:t>
      </w:r>
    </w:p>
    <w:p w14:paraId="24D4E5DC" w14:textId="77777777" w:rsidR="006C7E20" w:rsidRPr="0080472E" w:rsidRDefault="006C7E20" w:rsidP="006C7E20">
      <w:pPr>
        <w:pStyle w:val="Lijstalinea"/>
        <w:numPr>
          <w:ilvl w:val="0"/>
          <w:numId w:val="3"/>
        </w:numPr>
        <w:ind w:hanging="294"/>
        <w:jc w:val="both"/>
        <w:rPr>
          <w:rStyle w:val="ui-provider"/>
          <w:i/>
          <w:iCs/>
          <w:sz w:val="22"/>
          <w:szCs w:val="22"/>
        </w:rPr>
      </w:pPr>
      <w:r w:rsidRPr="0080472E">
        <w:rPr>
          <w:rStyle w:val="ui-provider"/>
          <w:i/>
          <w:iCs/>
          <w:sz w:val="22"/>
          <w:szCs w:val="22"/>
        </w:rPr>
        <w:t xml:space="preserve">Het is daarnaast mogelijk dat deze financiering valt onder ‘Andere publieke cofinanciering’. Er zijn 2 categorieën ‘andere publieke cofinanciering’. Zie ook de oproepfiche op p. 27: </w:t>
      </w:r>
    </w:p>
    <w:p w14:paraId="1682F37A" w14:textId="77777777" w:rsidR="006C7E20" w:rsidRPr="0080472E" w:rsidRDefault="006C7E20" w:rsidP="006C7E20">
      <w:pPr>
        <w:pStyle w:val="Lijstalinea"/>
        <w:numPr>
          <w:ilvl w:val="1"/>
          <w:numId w:val="3"/>
        </w:numPr>
        <w:jc w:val="both"/>
        <w:rPr>
          <w:rStyle w:val="ui-provider"/>
          <w:i/>
          <w:iCs/>
          <w:sz w:val="22"/>
          <w:szCs w:val="22"/>
        </w:rPr>
      </w:pPr>
      <w:r w:rsidRPr="0080472E">
        <w:rPr>
          <w:rStyle w:val="ui-provider"/>
          <w:rFonts w:eastAsiaTheme="minorEastAsia"/>
          <w:i/>
          <w:iCs/>
          <w:sz w:val="22"/>
          <w:szCs w:val="22"/>
        </w:rPr>
        <w:t>‘Persoonsgebonden cofinanciering:</w:t>
      </w:r>
    </w:p>
    <w:p w14:paraId="38C35EE5" w14:textId="77777777" w:rsidR="006C7E20" w:rsidRPr="0080472E" w:rsidRDefault="006C7E20" w:rsidP="006C7E20">
      <w:pPr>
        <w:pStyle w:val="Lijstalinea"/>
        <w:spacing w:before="240" w:after="240"/>
        <w:ind w:left="1440"/>
        <w:jc w:val="both"/>
        <w:rPr>
          <w:rStyle w:val="ui-provider"/>
          <w:i/>
          <w:iCs/>
          <w:sz w:val="22"/>
          <w:szCs w:val="22"/>
        </w:rPr>
      </w:pPr>
      <w:r w:rsidRPr="0080472E">
        <w:rPr>
          <w:rStyle w:val="ui-provider"/>
          <w:rFonts w:eastAsiaTheme="minorEastAsia"/>
          <w:i/>
          <w:iCs/>
          <w:sz w:val="22"/>
          <w:szCs w:val="22"/>
        </w:rPr>
        <w:t>Indien je voor de personeelsleden, die ingebracht worden in het project, een andere vorm van financiering krijgt, laad je de attesten op die je hiervoor ontvangt van de andere subsidiegever. Het deel van de loonkost dat reeds gesubsidieerd wordt door een andere subsidiebron moet ingebracht worden als publieke cofinanciering.</w:t>
      </w:r>
    </w:p>
    <w:p w14:paraId="3A1C4D49" w14:textId="77777777" w:rsidR="006C7E20" w:rsidRPr="0080472E" w:rsidRDefault="006C7E20" w:rsidP="006C7E20">
      <w:pPr>
        <w:pStyle w:val="Lijstalinea"/>
        <w:numPr>
          <w:ilvl w:val="1"/>
          <w:numId w:val="3"/>
        </w:numPr>
        <w:spacing w:before="240" w:after="240"/>
        <w:jc w:val="both"/>
        <w:rPr>
          <w:rStyle w:val="ui-provider"/>
          <w:i/>
          <w:iCs/>
          <w:sz w:val="22"/>
          <w:szCs w:val="22"/>
        </w:rPr>
      </w:pPr>
      <w:r w:rsidRPr="0080472E">
        <w:rPr>
          <w:rStyle w:val="ui-provider"/>
          <w:rFonts w:eastAsiaTheme="minorEastAsia"/>
          <w:i/>
          <w:iCs/>
          <w:sz w:val="22"/>
          <w:szCs w:val="22"/>
        </w:rPr>
        <w:t>Niet-persoonsgebonden cofinanciering:</w:t>
      </w:r>
    </w:p>
    <w:p w14:paraId="6ACDB80B" w14:textId="77777777" w:rsidR="006C7E20" w:rsidRPr="0080472E" w:rsidRDefault="006C7E20" w:rsidP="006C7E20">
      <w:pPr>
        <w:pStyle w:val="Lijstalinea"/>
        <w:numPr>
          <w:ilvl w:val="0"/>
          <w:numId w:val="3"/>
        </w:numPr>
        <w:ind w:hanging="294"/>
        <w:jc w:val="both"/>
        <w:rPr>
          <w:rStyle w:val="ui-provider"/>
          <w:i/>
          <w:iCs/>
          <w:sz w:val="22"/>
          <w:szCs w:val="22"/>
        </w:rPr>
      </w:pPr>
      <w:r w:rsidRPr="0080472E">
        <w:rPr>
          <w:rStyle w:val="ui-provider"/>
          <w:rFonts w:eastAsiaTheme="minorEastAsia"/>
          <w:i/>
          <w:iCs/>
          <w:sz w:val="22"/>
          <w:szCs w:val="22"/>
        </w:rPr>
        <w:t xml:space="preserve">Indien je voor de acties binnen het project reeds een andere subsidie ontvangt, laad je het attest op dat je hiervoor ontvangt van de andere subsidiegever. Het deel van het project </w:t>
      </w:r>
      <w:r w:rsidRPr="0080472E">
        <w:rPr>
          <w:rStyle w:val="ui-provider"/>
          <w:rFonts w:eastAsiaTheme="minorEastAsia"/>
          <w:i/>
          <w:iCs/>
          <w:sz w:val="22"/>
          <w:szCs w:val="22"/>
        </w:rPr>
        <w:lastRenderedPageBreak/>
        <w:t>dat reeds gesubsidieerd wordt door een andere subsidiebron moet ingebracht worden als publieke cofinanciering’.</w:t>
      </w:r>
    </w:p>
    <w:p w14:paraId="639AD418" w14:textId="47966943" w:rsidR="00E67AB5" w:rsidRPr="0080472E" w:rsidRDefault="00EB5186" w:rsidP="00EB5186">
      <w:pPr>
        <w:tabs>
          <w:tab w:val="left" w:pos="1326"/>
        </w:tabs>
        <w:spacing w:after="0" w:line="240" w:lineRule="auto"/>
        <w:jc w:val="both"/>
        <w:rPr>
          <w:rStyle w:val="ui-provider"/>
          <w:sz w:val="22"/>
          <w:szCs w:val="22"/>
        </w:rPr>
      </w:pPr>
      <w:r w:rsidRPr="0080472E">
        <w:rPr>
          <w:rStyle w:val="ui-provider"/>
          <w:rFonts w:eastAsia="Times New Roman" w:cs="Calibri"/>
          <w:i/>
          <w:iCs/>
          <w:sz w:val="22"/>
          <w:szCs w:val="22"/>
        </w:rPr>
        <w:tab/>
      </w:r>
    </w:p>
    <w:p w14:paraId="20AFD5F0" w14:textId="6D406447" w:rsidR="00B60AF5" w:rsidRPr="0080472E" w:rsidRDefault="00B60AF5" w:rsidP="00B60AF5">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Is het mogelijk dat het aantal projectmedewerkers gelijk is aan het aantal medewerkers werkzaam in de organisatie wanneer deze bv 12 medewerkers telt?  </w:t>
      </w:r>
    </w:p>
    <w:p w14:paraId="0CDB10FA" w14:textId="4650131A" w:rsidR="00E53C0E" w:rsidRPr="0080472E" w:rsidRDefault="00B60AF5" w:rsidP="00E53C0E">
      <w:pPr>
        <w:pStyle w:val="Lijstalinea"/>
        <w:numPr>
          <w:ilvl w:val="0"/>
          <w:numId w:val="3"/>
        </w:numPr>
        <w:jc w:val="both"/>
        <w:rPr>
          <w:rStyle w:val="ui-provider"/>
          <w:sz w:val="22"/>
          <w:szCs w:val="22"/>
          <w:u w:val="single"/>
        </w:rPr>
      </w:pPr>
      <w:r w:rsidRPr="0080472E">
        <w:rPr>
          <w:rStyle w:val="ui-provider"/>
          <w:i/>
          <w:iCs/>
          <w:sz w:val="22"/>
          <w:szCs w:val="22"/>
        </w:rPr>
        <w:t>Ja, dat is mogelijk. Er staa</w:t>
      </w:r>
      <w:r w:rsidR="1CA43C91" w:rsidRPr="0080472E">
        <w:rPr>
          <w:rStyle w:val="ui-provider"/>
          <w:i/>
          <w:iCs/>
          <w:sz w:val="22"/>
          <w:szCs w:val="22"/>
        </w:rPr>
        <w:t>n</w:t>
      </w:r>
      <w:r w:rsidR="3CAA67C1" w:rsidRPr="0080472E">
        <w:rPr>
          <w:rStyle w:val="ui-provider"/>
          <w:i/>
          <w:iCs/>
          <w:sz w:val="22"/>
          <w:szCs w:val="22"/>
        </w:rPr>
        <w:t xml:space="preserve"> </w:t>
      </w:r>
      <w:r w:rsidR="77B78015" w:rsidRPr="0080472E">
        <w:rPr>
          <w:rStyle w:val="ui-provider"/>
          <w:i/>
          <w:iCs/>
          <w:sz w:val="22"/>
          <w:szCs w:val="22"/>
        </w:rPr>
        <w:t>geen</w:t>
      </w:r>
      <w:r w:rsidR="1CA43C91" w:rsidRPr="0080472E">
        <w:rPr>
          <w:rStyle w:val="ui-provider"/>
          <w:i/>
          <w:iCs/>
          <w:sz w:val="22"/>
          <w:szCs w:val="22"/>
        </w:rPr>
        <w:t xml:space="preserve"> </w:t>
      </w:r>
      <w:r w:rsidR="0039106B" w:rsidRPr="0080472E">
        <w:rPr>
          <w:rStyle w:val="ui-provider"/>
          <w:i/>
          <w:iCs/>
          <w:sz w:val="22"/>
          <w:szCs w:val="22"/>
        </w:rPr>
        <w:t xml:space="preserve">minimum/maximum </w:t>
      </w:r>
      <w:r w:rsidRPr="0080472E">
        <w:rPr>
          <w:rStyle w:val="ui-provider"/>
          <w:i/>
          <w:iCs/>
          <w:sz w:val="22"/>
          <w:szCs w:val="22"/>
        </w:rPr>
        <w:t xml:space="preserve">op het aantal projectmedewerkers.  </w:t>
      </w:r>
    </w:p>
    <w:p w14:paraId="34344690" w14:textId="77777777" w:rsidR="00E53C0E" w:rsidRPr="0080472E" w:rsidRDefault="00E53C0E" w:rsidP="00E53C0E">
      <w:pPr>
        <w:pStyle w:val="Lijstalinea"/>
        <w:ind w:left="426"/>
        <w:jc w:val="both"/>
        <w:rPr>
          <w:rStyle w:val="ui-provider"/>
          <w:sz w:val="22"/>
          <w:szCs w:val="22"/>
          <w:u w:val="single"/>
        </w:rPr>
      </w:pPr>
    </w:p>
    <w:p w14:paraId="38BE3FCA" w14:textId="4B270D41" w:rsidR="00601475" w:rsidRPr="0080472E" w:rsidRDefault="00601475" w:rsidP="0075035B">
      <w:pPr>
        <w:pStyle w:val="Lijstalinea"/>
        <w:numPr>
          <w:ilvl w:val="0"/>
          <w:numId w:val="4"/>
        </w:numPr>
        <w:ind w:left="426"/>
        <w:jc w:val="both"/>
        <w:rPr>
          <w:rStyle w:val="ui-provider"/>
          <w:sz w:val="22"/>
          <w:szCs w:val="22"/>
          <w:u w:val="single"/>
        </w:rPr>
      </w:pPr>
      <w:r w:rsidRPr="0080472E">
        <w:rPr>
          <w:rStyle w:val="ui-provider"/>
          <w:sz w:val="22"/>
          <w:szCs w:val="22"/>
          <w:u w:val="single"/>
        </w:rPr>
        <w:t>Is de combinatie tussen 'Boost je leercultuur' en 'Anders Organiseren' toegestaan? </w:t>
      </w:r>
    </w:p>
    <w:p w14:paraId="75A200B8" w14:textId="77777777" w:rsidR="00601475" w:rsidRPr="0080472E" w:rsidRDefault="00601475" w:rsidP="00601475">
      <w:pPr>
        <w:pStyle w:val="Lijstalinea"/>
        <w:ind w:left="426"/>
        <w:jc w:val="both"/>
        <w:rPr>
          <w:rStyle w:val="ui-provider"/>
          <w:sz w:val="22"/>
          <w:szCs w:val="22"/>
          <w:u w:val="single"/>
        </w:rPr>
      </w:pPr>
      <w:r w:rsidRPr="0080472E">
        <w:rPr>
          <w:rStyle w:val="ui-provider"/>
          <w:sz w:val="22"/>
          <w:szCs w:val="22"/>
          <w:u w:val="single"/>
        </w:rPr>
        <w:t xml:space="preserve">En tussen </w:t>
      </w:r>
      <w:hyperlink r:id="rId13" w:tgtFrame="_blank" w:tooltip="https://www.google.be/url?sa=t&amp;rct=j&amp;q=&amp;esrc=s&amp;source=web&amp;cd=&amp;ved=2ahukewi2mkinu6uhaxwcwaihhc2adlwqfnoecbaqaw&amp;url=https%3a%2f%2fcnt-nar.be%2fnl%2fthema-dossiers%2finnovatieve-arbeidsorganisatie%23%3a~%3atext%3dhet%2520forfaitaire%2520bedrag%2520van%2520de%2cva" w:history="1">
        <w:r w:rsidRPr="0080472E">
          <w:rPr>
            <w:rStyle w:val="ui-provider"/>
            <w:sz w:val="22"/>
            <w:szCs w:val="22"/>
            <w:u w:val="single"/>
          </w:rPr>
          <w:t>Innovatieve arbeidsorganisatie | NAR - Nationale Arbeidsraad</w:t>
        </w:r>
      </w:hyperlink>
      <w:r w:rsidRPr="0080472E">
        <w:rPr>
          <w:rStyle w:val="ui-provider"/>
          <w:sz w:val="22"/>
          <w:szCs w:val="22"/>
          <w:u w:val="single"/>
        </w:rPr>
        <w:t xml:space="preserve"> en 'Anders Organiseren'? Zolang het over verschillende acties (geen dubbele subsidiëring) gaat? </w:t>
      </w:r>
    </w:p>
    <w:p w14:paraId="630298F7" w14:textId="77777777" w:rsidR="00601475" w:rsidRPr="0080472E" w:rsidRDefault="00601475" w:rsidP="00601475">
      <w:pPr>
        <w:pStyle w:val="Lijstalinea"/>
        <w:numPr>
          <w:ilvl w:val="0"/>
          <w:numId w:val="3"/>
        </w:numPr>
        <w:ind w:hanging="294"/>
        <w:jc w:val="both"/>
        <w:rPr>
          <w:rStyle w:val="ui-provider"/>
          <w:i/>
          <w:iCs/>
          <w:sz w:val="22"/>
          <w:szCs w:val="22"/>
        </w:rPr>
      </w:pPr>
      <w:r w:rsidRPr="0080472E">
        <w:rPr>
          <w:rStyle w:val="ui-provider"/>
          <w:i/>
          <w:iCs/>
          <w:sz w:val="22"/>
          <w:szCs w:val="22"/>
        </w:rPr>
        <w:t xml:space="preserve">'Boost je leercultuur' is de campagnenaam van de overheidsopdracht ‘Leergoesting’. Zoals opgenomen in de oproepfiche kunnen projecten binnen de oproep Anders Organiseren niet gecombineerd worden met een traject binnen de opdrachten DRIVE, Leergoesting of de oproep Inclusieve werkvloeren. Het antwoord op dit deel van de vraag is dus ‘neen’. </w:t>
      </w:r>
    </w:p>
    <w:p w14:paraId="75B31AF6" w14:textId="77777777" w:rsidR="00601475" w:rsidRPr="0080472E" w:rsidRDefault="00601475" w:rsidP="00601475">
      <w:pPr>
        <w:pStyle w:val="Lijstalinea"/>
        <w:numPr>
          <w:ilvl w:val="0"/>
          <w:numId w:val="3"/>
        </w:numPr>
        <w:ind w:hanging="294"/>
        <w:jc w:val="both"/>
        <w:rPr>
          <w:rStyle w:val="ui-provider"/>
          <w:i/>
          <w:iCs/>
          <w:sz w:val="22"/>
          <w:szCs w:val="22"/>
        </w:rPr>
      </w:pPr>
      <w:r w:rsidRPr="0080472E">
        <w:rPr>
          <w:rStyle w:val="ui-provider"/>
          <w:i/>
          <w:iCs/>
          <w:sz w:val="22"/>
          <w:szCs w:val="22"/>
        </w:rPr>
        <w:t xml:space="preserve">De combinatie van een Anders Organiseren-project met een NAR-project wordt niet expliciet uitgesloten in de oproepfiche en is dus mogelijk. Beide projecten moeten uiteraard gaan over andere acties omdat dubbelfinanciering niet toegelaten is. Zie daarvoor ook de uitleg bij vraag 2 over ‘Andere publieke cofinanciering’. </w:t>
      </w:r>
    </w:p>
    <w:p w14:paraId="199BA22A" w14:textId="731E4A66" w:rsidR="007E5F5B" w:rsidRPr="0080472E" w:rsidRDefault="007E5F5B">
      <w:pPr>
        <w:rPr>
          <w:b/>
          <w:bCs/>
          <w:sz w:val="22"/>
          <w:szCs w:val="22"/>
        </w:rPr>
      </w:pPr>
    </w:p>
    <w:p w14:paraId="57D596C9" w14:textId="77777777" w:rsidR="00E53C0E" w:rsidRPr="0080472E" w:rsidRDefault="00E53C0E">
      <w:pPr>
        <w:rPr>
          <w:b/>
          <w:bCs/>
          <w:sz w:val="22"/>
          <w:szCs w:val="22"/>
        </w:rPr>
      </w:pPr>
    </w:p>
    <w:p w14:paraId="6BD6BE69" w14:textId="77777777" w:rsidR="00E53C0E" w:rsidRPr="0080472E" w:rsidRDefault="00E53C0E">
      <w:pPr>
        <w:rPr>
          <w:b/>
          <w:bCs/>
          <w:sz w:val="22"/>
          <w:szCs w:val="22"/>
        </w:rPr>
      </w:pPr>
    </w:p>
    <w:p w14:paraId="2CA7AC4C" w14:textId="77777777" w:rsidR="00E53C0E" w:rsidRPr="0080472E" w:rsidRDefault="00E53C0E">
      <w:pPr>
        <w:rPr>
          <w:b/>
          <w:bCs/>
          <w:sz w:val="22"/>
          <w:szCs w:val="22"/>
        </w:rPr>
      </w:pPr>
    </w:p>
    <w:p w14:paraId="34861D09" w14:textId="77777777" w:rsidR="00E53C0E" w:rsidRPr="0080472E" w:rsidRDefault="00E53C0E">
      <w:pPr>
        <w:rPr>
          <w:b/>
          <w:bCs/>
          <w:sz w:val="22"/>
          <w:szCs w:val="22"/>
        </w:rPr>
      </w:pPr>
    </w:p>
    <w:p w14:paraId="2AE19618" w14:textId="77777777" w:rsidR="009941D4" w:rsidRPr="0080472E" w:rsidRDefault="009941D4">
      <w:pPr>
        <w:rPr>
          <w:b/>
          <w:bCs/>
          <w:sz w:val="22"/>
          <w:szCs w:val="22"/>
        </w:rPr>
      </w:pPr>
    </w:p>
    <w:p w14:paraId="7DDF5DEB" w14:textId="77777777" w:rsidR="009941D4" w:rsidRPr="0080472E" w:rsidRDefault="009941D4">
      <w:pPr>
        <w:rPr>
          <w:b/>
          <w:bCs/>
          <w:sz w:val="22"/>
          <w:szCs w:val="22"/>
        </w:rPr>
      </w:pPr>
    </w:p>
    <w:p w14:paraId="3FA97DE1" w14:textId="77777777" w:rsidR="009941D4" w:rsidRPr="0080472E" w:rsidRDefault="009941D4">
      <w:pPr>
        <w:rPr>
          <w:b/>
          <w:bCs/>
          <w:sz w:val="22"/>
          <w:szCs w:val="22"/>
        </w:rPr>
      </w:pPr>
    </w:p>
    <w:p w14:paraId="431866A6" w14:textId="77777777" w:rsidR="009941D4" w:rsidRPr="0080472E" w:rsidRDefault="009941D4">
      <w:pPr>
        <w:rPr>
          <w:b/>
          <w:bCs/>
          <w:sz w:val="22"/>
          <w:szCs w:val="22"/>
        </w:rPr>
      </w:pPr>
    </w:p>
    <w:p w14:paraId="5A945F3C" w14:textId="77777777" w:rsidR="009941D4" w:rsidRPr="0080472E" w:rsidRDefault="009941D4">
      <w:pPr>
        <w:rPr>
          <w:b/>
          <w:bCs/>
          <w:sz w:val="22"/>
          <w:szCs w:val="22"/>
        </w:rPr>
      </w:pPr>
    </w:p>
    <w:p w14:paraId="3D93C35D" w14:textId="77777777" w:rsidR="009941D4" w:rsidRPr="0080472E" w:rsidRDefault="009941D4">
      <w:pPr>
        <w:rPr>
          <w:b/>
          <w:bCs/>
          <w:sz w:val="22"/>
          <w:szCs w:val="22"/>
        </w:rPr>
      </w:pPr>
    </w:p>
    <w:p w14:paraId="5BB3A028" w14:textId="77777777" w:rsidR="009941D4" w:rsidRPr="0080472E" w:rsidRDefault="009941D4">
      <w:pPr>
        <w:rPr>
          <w:b/>
          <w:bCs/>
          <w:sz w:val="22"/>
          <w:szCs w:val="22"/>
        </w:rPr>
      </w:pPr>
    </w:p>
    <w:p w14:paraId="3C0390FA" w14:textId="77777777" w:rsidR="009941D4" w:rsidRPr="0080472E" w:rsidRDefault="009941D4">
      <w:pPr>
        <w:rPr>
          <w:b/>
          <w:bCs/>
          <w:sz w:val="22"/>
          <w:szCs w:val="22"/>
        </w:rPr>
      </w:pPr>
    </w:p>
    <w:p w14:paraId="6C7EC6FE" w14:textId="77777777" w:rsidR="00E53C0E" w:rsidRPr="0080472E" w:rsidRDefault="00E53C0E">
      <w:pPr>
        <w:rPr>
          <w:b/>
          <w:bCs/>
          <w:sz w:val="22"/>
          <w:szCs w:val="22"/>
        </w:rPr>
      </w:pPr>
    </w:p>
    <w:p w14:paraId="0E42B401" w14:textId="77777777" w:rsidR="00E53C0E" w:rsidRPr="0080472E" w:rsidRDefault="00E53C0E">
      <w:pPr>
        <w:rPr>
          <w:b/>
          <w:bCs/>
          <w:sz w:val="22"/>
          <w:szCs w:val="22"/>
        </w:rPr>
      </w:pPr>
    </w:p>
    <w:p w14:paraId="276097D9" w14:textId="77777777" w:rsidR="001B0968" w:rsidRPr="0080472E" w:rsidRDefault="001B0968">
      <w:pPr>
        <w:rPr>
          <w:b/>
          <w:bCs/>
          <w:sz w:val="22"/>
          <w:szCs w:val="22"/>
        </w:rPr>
      </w:pPr>
    </w:p>
    <w:p w14:paraId="28214A55" w14:textId="3B5A7DDF" w:rsidR="009A527D" w:rsidRPr="0080472E" w:rsidRDefault="009A527D" w:rsidP="006F41CC">
      <w:pPr>
        <w:pStyle w:val="Lijstalinea"/>
        <w:numPr>
          <w:ilvl w:val="0"/>
          <w:numId w:val="8"/>
        </w:numPr>
        <w:pBdr>
          <w:bottom w:val="single" w:sz="4" w:space="1" w:color="auto"/>
        </w:pBdr>
        <w:ind w:left="426" w:hanging="284"/>
        <w:rPr>
          <w:b/>
          <w:bCs/>
          <w:sz w:val="22"/>
          <w:szCs w:val="22"/>
        </w:rPr>
      </w:pPr>
      <w:r w:rsidRPr="0080472E">
        <w:rPr>
          <w:b/>
          <w:bCs/>
          <w:sz w:val="22"/>
          <w:szCs w:val="22"/>
        </w:rPr>
        <w:lastRenderedPageBreak/>
        <w:t>Staatssteun</w:t>
      </w:r>
    </w:p>
    <w:p w14:paraId="6DA51F44" w14:textId="77777777" w:rsidR="005A68DE" w:rsidRPr="0080472E" w:rsidRDefault="005A68DE" w:rsidP="005A68DE">
      <w:pPr>
        <w:pStyle w:val="Lijstalinea"/>
        <w:ind w:left="426"/>
        <w:jc w:val="both"/>
        <w:rPr>
          <w:rStyle w:val="ui-provider"/>
          <w:sz w:val="22"/>
          <w:szCs w:val="22"/>
        </w:rPr>
      </w:pPr>
    </w:p>
    <w:p w14:paraId="4EF38402" w14:textId="77777777" w:rsidR="0095174D" w:rsidRPr="0080472E" w:rsidRDefault="0095174D" w:rsidP="0095174D">
      <w:pPr>
        <w:pStyle w:val="Lijstalinea"/>
        <w:ind w:left="426"/>
        <w:rPr>
          <w:rStyle w:val="ui-provider"/>
          <w:sz w:val="22"/>
          <w:szCs w:val="22"/>
        </w:rPr>
      </w:pPr>
    </w:p>
    <w:p w14:paraId="6512DF27" w14:textId="065FA0B0" w:rsidR="004F280A" w:rsidRPr="0080472E" w:rsidRDefault="00F62276" w:rsidP="004F280A">
      <w:pPr>
        <w:pStyle w:val="Lijstalinea"/>
        <w:numPr>
          <w:ilvl w:val="0"/>
          <w:numId w:val="4"/>
        </w:numPr>
        <w:ind w:left="426"/>
        <w:rPr>
          <w:rStyle w:val="ui-provider"/>
          <w:sz w:val="22"/>
          <w:szCs w:val="22"/>
          <w:u w:val="single"/>
        </w:rPr>
      </w:pPr>
      <w:r w:rsidRPr="0080472E">
        <w:rPr>
          <w:rStyle w:val="ui-provider"/>
          <w:sz w:val="22"/>
          <w:szCs w:val="22"/>
          <w:u w:val="single"/>
        </w:rPr>
        <w:t>W</w:t>
      </w:r>
      <w:r w:rsidR="004F280A" w:rsidRPr="0080472E">
        <w:rPr>
          <w:rStyle w:val="ui-provider"/>
          <w:sz w:val="22"/>
          <w:szCs w:val="22"/>
          <w:u w:val="single"/>
        </w:rPr>
        <w:t>aar kan je nazien hoeveel de-mini</w:t>
      </w:r>
      <w:r w:rsidR="00C96BB6" w:rsidRPr="0080472E">
        <w:rPr>
          <w:rStyle w:val="ui-provider"/>
          <w:sz w:val="22"/>
          <w:szCs w:val="22"/>
          <w:u w:val="single"/>
        </w:rPr>
        <w:t>mi</w:t>
      </w:r>
      <w:r w:rsidR="004F280A" w:rsidRPr="0080472E">
        <w:rPr>
          <w:rStyle w:val="ui-provider"/>
          <w:sz w:val="22"/>
          <w:szCs w:val="22"/>
          <w:u w:val="single"/>
        </w:rPr>
        <w:t>s subsidies we als organisatie de afgelopen jaren hebben ontvangen? Wij hebben enkele jaren geleden ondersteuning gekregen va</w:t>
      </w:r>
      <w:r w:rsidR="00C96BB6" w:rsidRPr="0080472E">
        <w:rPr>
          <w:rStyle w:val="ui-provider"/>
          <w:sz w:val="22"/>
          <w:szCs w:val="22"/>
          <w:u w:val="single"/>
        </w:rPr>
        <w:t>n</w:t>
      </w:r>
      <w:r w:rsidR="004F280A" w:rsidRPr="0080472E">
        <w:rPr>
          <w:rStyle w:val="ui-provider"/>
          <w:sz w:val="22"/>
          <w:szCs w:val="22"/>
          <w:u w:val="single"/>
        </w:rPr>
        <w:t xml:space="preserve"> het Drive project. </w:t>
      </w:r>
    </w:p>
    <w:p w14:paraId="25A8B846" w14:textId="19FBA8E0" w:rsidR="009030FE" w:rsidRPr="0080472E" w:rsidRDefault="00AD290C" w:rsidP="00853C7A">
      <w:pPr>
        <w:pStyle w:val="Lijstalinea"/>
        <w:numPr>
          <w:ilvl w:val="0"/>
          <w:numId w:val="3"/>
        </w:numPr>
        <w:ind w:hanging="294"/>
        <w:jc w:val="both"/>
        <w:rPr>
          <w:rStyle w:val="ui-provider"/>
          <w:i/>
          <w:iCs/>
          <w:sz w:val="22"/>
          <w:szCs w:val="22"/>
        </w:rPr>
      </w:pPr>
      <w:r w:rsidRPr="0080472E">
        <w:rPr>
          <w:rStyle w:val="ui-provider"/>
          <w:i/>
          <w:iCs/>
          <w:sz w:val="22"/>
          <w:szCs w:val="22"/>
        </w:rPr>
        <w:t xml:space="preserve">Hoeveel een organisatie reeds ontvangen heeft aan de-minimis steun </w:t>
      </w:r>
      <w:r w:rsidR="00CA5EBE" w:rsidRPr="0080472E">
        <w:rPr>
          <w:rStyle w:val="ui-provider"/>
          <w:i/>
          <w:iCs/>
          <w:sz w:val="22"/>
          <w:szCs w:val="22"/>
        </w:rPr>
        <w:t>kan opgevraagd worden bij de boekhouding</w:t>
      </w:r>
      <w:r w:rsidR="00FB2FD5" w:rsidRPr="0080472E">
        <w:rPr>
          <w:rStyle w:val="ui-provider"/>
          <w:i/>
          <w:iCs/>
          <w:sz w:val="22"/>
          <w:szCs w:val="22"/>
        </w:rPr>
        <w:t xml:space="preserve"> of financiële </w:t>
      </w:r>
      <w:r w:rsidR="009030FE" w:rsidRPr="0080472E">
        <w:rPr>
          <w:rStyle w:val="ui-provider"/>
          <w:i/>
          <w:iCs/>
          <w:sz w:val="22"/>
          <w:szCs w:val="22"/>
        </w:rPr>
        <w:t>afdeling</w:t>
      </w:r>
      <w:r w:rsidR="00CA5EBE" w:rsidRPr="0080472E">
        <w:rPr>
          <w:rStyle w:val="ui-provider"/>
          <w:i/>
          <w:iCs/>
          <w:sz w:val="22"/>
          <w:szCs w:val="22"/>
        </w:rPr>
        <w:t>.</w:t>
      </w:r>
      <w:r w:rsidR="009A0212" w:rsidRPr="0080472E">
        <w:rPr>
          <w:rStyle w:val="ui-provider"/>
          <w:i/>
          <w:iCs/>
          <w:sz w:val="22"/>
          <w:szCs w:val="22"/>
        </w:rPr>
        <w:t xml:space="preserve"> Het is de verantwoordelijkheid van elke organisatie om dit voor zichzelf bij te houden.</w:t>
      </w:r>
      <w:r w:rsidR="00CA5EBE" w:rsidRPr="0080472E">
        <w:rPr>
          <w:rStyle w:val="ui-provider"/>
          <w:i/>
          <w:iCs/>
          <w:sz w:val="22"/>
          <w:szCs w:val="22"/>
        </w:rPr>
        <w:t xml:space="preserve">  Wanneer niet duidelijk is of een bepaalde subsidie onder de-minimis steun valt</w:t>
      </w:r>
      <w:r w:rsidR="6BA98C69" w:rsidRPr="0080472E">
        <w:rPr>
          <w:rStyle w:val="ui-provider"/>
          <w:i/>
          <w:iCs/>
          <w:sz w:val="22"/>
          <w:szCs w:val="22"/>
        </w:rPr>
        <w:t xml:space="preserve">, dan raden we aan om contact op te nemen </w:t>
      </w:r>
      <w:r w:rsidR="2AC95FA3" w:rsidRPr="0080472E">
        <w:rPr>
          <w:rStyle w:val="ui-provider"/>
          <w:i/>
          <w:iCs/>
          <w:sz w:val="22"/>
          <w:szCs w:val="22"/>
        </w:rPr>
        <w:t>met</w:t>
      </w:r>
      <w:r w:rsidR="00FB2FD5" w:rsidRPr="0080472E">
        <w:rPr>
          <w:rStyle w:val="ui-provider"/>
          <w:i/>
          <w:iCs/>
          <w:sz w:val="22"/>
          <w:szCs w:val="22"/>
        </w:rPr>
        <w:t xml:space="preserve"> de </w:t>
      </w:r>
      <w:r w:rsidR="001E696D" w:rsidRPr="0080472E">
        <w:rPr>
          <w:rStyle w:val="ui-provider"/>
          <w:i/>
          <w:iCs/>
          <w:sz w:val="22"/>
          <w:szCs w:val="22"/>
        </w:rPr>
        <w:t xml:space="preserve">subsidiegever </w:t>
      </w:r>
      <w:r w:rsidR="00043389" w:rsidRPr="0080472E">
        <w:rPr>
          <w:rStyle w:val="ui-provider"/>
          <w:i/>
          <w:iCs/>
          <w:sz w:val="22"/>
          <w:szCs w:val="22"/>
        </w:rPr>
        <w:t xml:space="preserve">of uitvoeringsinstantie </w:t>
      </w:r>
      <w:r w:rsidR="001E696D" w:rsidRPr="0080472E">
        <w:rPr>
          <w:rStyle w:val="ui-provider"/>
          <w:i/>
          <w:iCs/>
          <w:sz w:val="22"/>
          <w:szCs w:val="22"/>
        </w:rPr>
        <w:t xml:space="preserve">zelf. </w:t>
      </w:r>
    </w:p>
    <w:p w14:paraId="25277819" w14:textId="038038D7" w:rsidR="007E5F5B" w:rsidRPr="0080472E" w:rsidRDefault="007E5F5B" w:rsidP="002933C6">
      <w:pPr>
        <w:pStyle w:val="Lijstalinea"/>
        <w:ind w:left="1440"/>
        <w:jc w:val="both"/>
        <w:rPr>
          <w:i/>
          <w:iCs/>
          <w:sz w:val="22"/>
          <w:szCs w:val="22"/>
        </w:rPr>
      </w:pPr>
      <w:r w:rsidRPr="0080472E">
        <w:rPr>
          <w:b/>
          <w:bCs/>
          <w:sz w:val="22"/>
          <w:szCs w:val="22"/>
        </w:rPr>
        <w:br w:type="page"/>
      </w:r>
    </w:p>
    <w:p w14:paraId="048DAC95" w14:textId="2495A5CC" w:rsidR="005A68DE" w:rsidRPr="0080472E" w:rsidRDefault="002F5E7F" w:rsidP="002F5E7F">
      <w:pPr>
        <w:pStyle w:val="Lijstalinea"/>
        <w:numPr>
          <w:ilvl w:val="0"/>
          <w:numId w:val="8"/>
        </w:numPr>
        <w:pBdr>
          <w:bottom w:val="single" w:sz="4" w:space="1" w:color="auto"/>
        </w:pBdr>
        <w:ind w:left="426" w:hanging="284"/>
        <w:rPr>
          <w:b/>
          <w:bCs/>
        </w:rPr>
      </w:pPr>
      <w:r w:rsidRPr="0080472E">
        <w:rPr>
          <w:b/>
          <w:bCs/>
          <w:sz w:val="22"/>
          <w:szCs w:val="22"/>
        </w:rPr>
        <w:lastRenderedPageBreak/>
        <w:t>Kwaliteits- en registratiemodel van dienstverleners binnen Werk en Sociale Economie</w:t>
      </w:r>
    </w:p>
    <w:p w14:paraId="0911D12D" w14:textId="77777777" w:rsidR="002F5E7F" w:rsidRPr="0080472E" w:rsidRDefault="002F5E7F" w:rsidP="002F5E7F">
      <w:pPr>
        <w:pStyle w:val="Lijstalinea"/>
        <w:ind w:left="426"/>
        <w:jc w:val="both"/>
        <w:rPr>
          <w:rStyle w:val="ui-provider"/>
          <w:sz w:val="22"/>
          <w:szCs w:val="22"/>
          <w:u w:val="single"/>
        </w:rPr>
      </w:pPr>
    </w:p>
    <w:p w14:paraId="2E1E6099" w14:textId="11446CE2" w:rsidR="00E56AB8" w:rsidRPr="0080472E" w:rsidRDefault="5BC216AA" w:rsidP="00E56AB8">
      <w:pPr>
        <w:pStyle w:val="Lijstalinea"/>
        <w:numPr>
          <w:ilvl w:val="0"/>
          <w:numId w:val="4"/>
        </w:numPr>
        <w:ind w:left="426"/>
        <w:jc w:val="both"/>
        <w:rPr>
          <w:rStyle w:val="ui-provider"/>
          <w:sz w:val="22"/>
          <w:szCs w:val="22"/>
          <w:u w:val="single"/>
        </w:rPr>
      </w:pPr>
      <w:r w:rsidRPr="0080472E">
        <w:rPr>
          <w:rStyle w:val="ui-provider"/>
          <w:sz w:val="22"/>
          <w:szCs w:val="22"/>
          <w:u w:val="single"/>
        </w:rPr>
        <w:t>Projectpersoneel via facturatie: moeten deze ook een kwaliteitsregistratie hebben?</w:t>
      </w:r>
    </w:p>
    <w:p w14:paraId="612EA456" w14:textId="77777777" w:rsidR="00A32FCB" w:rsidRPr="0080472E" w:rsidRDefault="008621D2" w:rsidP="008621D2">
      <w:pPr>
        <w:pStyle w:val="Lijstalinea"/>
        <w:numPr>
          <w:ilvl w:val="0"/>
          <w:numId w:val="3"/>
        </w:numPr>
        <w:jc w:val="both"/>
        <w:rPr>
          <w:i/>
          <w:iCs/>
          <w:sz w:val="22"/>
          <w:szCs w:val="22"/>
        </w:rPr>
      </w:pPr>
      <w:r w:rsidRPr="0080472E">
        <w:rPr>
          <w:i/>
          <w:iCs/>
          <w:sz w:val="22"/>
          <w:szCs w:val="22"/>
        </w:rPr>
        <w:t xml:space="preserve">Indien onderaannemers specifiek worden aangetrokken voor het verlenen van advies of begeleiding in kader van het project, dan moeten deze voldoen aan het kwaliteits- en registratiemodel van dienstverleners binnen Werk en Sociale Economie. Op het moment van indiening van de projectaanvraag moeten zij minstens een aanvraag tot WSE- kwaliteitsregistratie ingediend hebben via het WSE-loket. </w:t>
      </w:r>
    </w:p>
    <w:p w14:paraId="37E698EA" w14:textId="1D6C5CBE" w:rsidR="00E56AB8" w:rsidRPr="0080472E" w:rsidRDefault="008621D2" w:rsidP="008621D2">
      <w:pPr>
        <w:pStyle w:val="Lijstalinea"/>
        <w:numPr>
          <w:ilvl w:val="0"/>
          <w:numId w:val="3"/>
        </w:numPr>
        <w:jc w:val="both"/>
        <w:rPr>
          <w:i/>
          <w:iCs/>
          <w:sz w:val="22"/>
          <w:szCs w:val="22"/>
        </w:rPr>
      </w:pPr>
      <w:r w:rsidRPr="0080472E">
        <w:rPr>
          <w:i/>
          <w:iCs/>
          <w:sz w:val="22"/>
          <w:szCs w:val="22"/>
        </w:rPr>
        <w:t>Er is geen kwaliteitsregistratie nodig indien onderaannemers geconsulteerd worden/betrokken worden in het project vanwege de dagdagelijkse rol in de organisatie. Deze rol dient te bestaan voorafgaand aan het project en dient breder te zijn dan de doelstellingen van dit project. Bij twijfel over deze rol kan er door Europa WSE steeds een bijkomend bewijs opgevraagd worden</w:t>
      </w:r>
      <w:r w:rsidR="00794E9C" w:rsidRPr="0080472E">
        <w:rPr>
          <w:i/>
          <w:iCs/>
          <w:sz w:val="22"/>
          <w:szCs w:val="22"/>
        </w:rPr>
        <w:t xml:space="preserve"> (zie ook ad</w:t>
      </w:r>
      <w:r w:rsidR="00A32FCB" w:rsidRPr="0080472E">
        <w:rPr>
          <w:i/>
          <w:iCs/>
          <w:sz w:val="22"/>
          <w:szCs w:val="22"/>
        </w:rPr>
        <w:t>dendum 2 bij de oproepfiche)</w:t>
      </w:r>
      <w:r w:rsidRPr="0080472E">
        <w:rPr>
          <w:i/>
          <w:iCs/>
          <w:sz w:val="22"/>
          <w:szCs w:val="22"/>
        </w:rPr>
        <w:t>.</w:t>
      </w:r>
    </w:p>
    <w:p w14:paraId="72106D39" w14:textId="77777777" w:rsidR="00794E9C" w:rsidRPr="0080472E" w:rsidRDefault="00794E9C" w:rsidP="00794E9C">
      <w:pPr>
        <w:pStyle w:val="Lijstalinea"/>
        <w:jc w:val="both"/>
        <w:rPr>
          <w:i/>
          <w:iCs/>
          <w:sz w:val="22"/>
          <w:szCs w:val="22"/>
        </w:rPr>
      </w:pPr>
    </w:p>
    <w:p w14:paraId="0688C4EE" w14:textId="77777777" w:rsidR="00794E9C" w:rsidRPr="0080472E" w:rsidRDefault="00794E9C" w:rsidP="00794E9C">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Moet de promotororganisatie voldoen aan de WSE kwaliteitsregistratie? </w:t>
      </w:r>
    </w:p>
    <w:p w14:paraId="47F78A72" w14:textId="77777777" w:rsidR="00794E9C" w:rsidRPr="0080472E" w:rsidRDefault="00794E9C" w:rsidP="00794E9C">
      <w:pPr>
        <w:pStyle w:val="Lijstalinea"/>
        <w:numPr>
          <w:ilvl w:val="0"/>
          <w:numId w:val="3"/>
        </w:numPr>
        <w:rPr>
          <w:i/>
          <w:iCs/>
          <w:sz w:val="22"/>
          <w:szCs w:val="22"/>
        </w:rPr>
      </w:pPr>
      <w:r w:rsidRPr="0080472E">
        <w:rPr>
          <w:i/>
          <w:iCs/>
          <w:sz w:val="22"/>
          <w:szCs w:val="22"/>
        </w:rPr>
        <w:t xml:space="preserve">De promotororganisatie moet niet voldoen aan het kwaliteits- en registratiemodel van dienstverleners binnen Werk en Sociale Economie. </w:t>
      </w:r>
    </w:p>
    <w:p w14:paraId="7B368AF7" w14:textId="77777777" w:rsidR="00E64372" w:rsidRPr="0080472E" w:rsidRDefault="00E64372" w:rsidP="00E64372">
      <w:pPr>
        <w:pStyle w:val="Lijstalinea"/>
        <w:rPr>
          <w:i/>
          <w:iCs/>
          <w:sz w:val="22"/>
          <w:szCs w:val="22"/>
        </w:rPr>
      </w:pPr>
    </w:p>
    <w:p w14:paraId="7299712D" w14:textId="4BA14064" w:rsidR="00E64372" w:rsidRPr="0080472E" w:rsidRDefault="00E64372" w:rsidP="00E64372">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Is het voldoende om te beschikken over KMO-P erkenning om te voldoen aan </w:t>
      </w:r>
      <w:r w:rsidRPr="0080472E">
        <w:rPr>
          <w:sz w:val="22"/>
          <w:szCs w:val="22"/>
          <w:u w:val="single"/>
        </w:rPr>
        <w:t>het kwaliteits- en registratiemodel van dienstverleners</w:t>
      </w:r>
      <w:r w:rsidR="00BC5209" w:rsidRPr="0080472E">
        <w:rPr>
          <w:sz w:val="22"/>
          <w:szCs w:val="22"/>
          <w:u w:val="single"/>
        </w:rPr>
        <w:t xml:space="preserve"> van het Departement Werk en Sociale Economie? </w:t>
      </w:r>
    </w:p>
    <w:p w14:paraId="0397B8BF" w14:textId="77777777" w:rsidR="00E64372" w:rsidRPr="0080472E" w:rsidRDefault="00E64372" w:rsidP="00E64372">
      <w:pPr>
        <w:pStyle w:val="Lijstalinea"/>
        <w:numPr>
          <w:ilvl w:val="0"/>
          <w:numId w:val="3"/>
        </w:numPr>
        <w:rPr>
          <w:i/>
          <w:iCs/>
          <w:sz w:val="22"/>
          <w:szCs w:val="22"/>
        </w:rPr>
      </w:pPr>
      <w:r w:rsidRPr="0080472E">
        <w:rPr>
          <w:i/>
          <w:iCs/>
          <w:sz w:val="22"/>
          <w:szCs w:val="22"/>
        </w:rPr>
        <w:t xml:space="preserve">Ook erkende dienstverleners binnen de KMO-Portefeuille moeten een WSE kwaliteitsregistratie aanvragen. </w:t>
      </w:r>
    </w:p>
    <w:p w14:paraId="37599546" w14:textId="77777777" w:rsidR="00CA3E50" w:rsidRPr="0080472E" w:rsidRDefault="00CA3E50" w:rsidP="00CA3E50">
      <w:pPr>
        <w:pStyle w:val="Lijstalinea"/>
        <w:numPr>
          <w:ilvl w:val="0"/>
          <w:numId w:val="3"/>
        </w:numPr>
        <w:rPr>
          <w:i/>
          <w:iCs/>
          <w:sz w:val="22"/>
          <w:szCs w:val="22"/>
        </w:rPr>
      </w:pPr>
      <w:r w:rsidRPr="0080472E">
        <w:rPr>
          <w:i/>
          <w:iCs/>
          <w:sz w:val="22"/>
          <w:szCs w:val="22"/>
        </w:rPr>
        <w:t xml:space="preserve">Voor verdere info zie ook: </w:t>
      </w:r>
      <w:hyperlink r:id="rId14" w:history="1">
        <w:r w:rsidRPr="0080472E">
          <w:rPr>
            <w:rStyle w:val="Hyperlink"/>
            <w:i/>
            <w:iCs/>
            <w:sz w:val="22"/>
            <w:szCs w:val="22"/>
          </w:rPr>
          <w:t>https://www.vlaanderen.be/werken/kwaliteits-en-registratiemodel-van-dienstverleners-binnen-werk-en-sociale-economie/aantonen-dat-u-voldoet</w:t>
        </w:r>
      </w:hyperlink>
      <w:r w:rsidRPr="0080472E">
        <w:rPr>
          <w:i/>
          <w:iCs/>
          <w:sz w:val="22"/>
          <w:szCs w:val="22"/>
        </w:rPr>
        <w:t xml:space="preserve"> </w:t>
      </w:r>
    </w:p>
    <w:p w14:paraId="32B9FF34" w14:textId="77777777" w:rsidR="008621D2" w:rsidRPr="0080472E" w:rsidRDefault="008621D2" w:rsidP="008621D2">
      <w:pPr>
        <w:pStyle w:val="Lijstalinea"/>
        <w:jc w:val="both"/>
        <w:rPr>
          <w:rStyle w:val="ui-provider"/>
          <w:i/>
          <w:iCs/>
          <w:sz w:val="22"/>
          <w:szCs w:val="22"/>
        </w:rPr>
      </w:pPr>
    </w:p>
    <w:p w14:paraId="546738F2" w14:textId="77531E91" w:rsidR="00BB45C3" w:rsidRPr="0080472E" w:rsidRDefault="00641BDF" w:rsidP="00853C7A">
      <w:pPr>
        <w:pStyle w:val="Lijstalinea"/>
        <w:numPr>
          <w:ilvl w:val="0"/>
          <w:numId w:val="4"/>
        </w:numPr>
        <w:ind w:left="426"/>
        <w:jc w:val="both"/>
        <w:rPr>
          <w:rStyle w:val="ui-provider"/>
          <w:sz w:val="22"/>
          <w:szCs w:val="22"/>
          <w:u w:val="single"/>
        </w:rPr>
      </w:pPr>
      <w:r w:rsidRPr="0080472E">
        <w:rPr>
          <w:rStyle w:val="ui-provider"/>
          <w:sz w:val="22"/>
          <w:szCs w:val="22"/>
          <w:u w:val="single"/>
        </w:rPr>
        <w:t>Is er</w:t>
      </w:r>
      <w:r w:rsidR="004F280A" w:rsidRPr="0080472E">
        <w:rPr>
          <w:rStyle w:val="ui-provider"/>
          <w:sz w:val="22"/>
          <w:szCs w:val="22"/>
          <w:u w:val="single"/>
        </w:rPr>
        <w:t xml:space="preserve"> een lijst van erkende 'onderaannemers' die goedgekeurd zijn?</w:t>
      </w:r>
      <w:r w:rsidRPr="0080472E">
        <w:rPr>
          <w:rStyle w:val="ui-provider"/>
          <w:sz w:val="22"/>
          <w:szCs w:val="22"/>
          <w:u w:val="single"/>
        </w:rPr>
        <w:t xml:space="preserve"> </w:t>
      </w:r>
    </w:p>
    <w:p w14:paraId="1D0F868C" w14:textId="77777777" w:rsidR="002D01F7" w:rsidRPr="0080472E" w:rsidRDefault="00C12E8D" w:rsidP="00853C7A">
      <w:pPr>
        <w:pStyle w:val="Lijstalinea"/>
        <w:numPr>
          <w:ilvl w:val="0"/>
          <w:numId w:val="3"/>
        </w:numPr>
        <w:ind w:hanging="294"/>
        <w:jc w:val="both"/>
        <w:rPr>
          <w:rStyle w:val="ui-provider"/>
          <w:i/>
          <w:iCs/>
          <w:sz w:val="22"/>
          <w:szCs w:val="22"/>
        </w:rPr>
      </w:pPr>
      <w:r w:rsidRPr="0080472E">
        <w:rPr>
          <w:rStyle w:val="ui-provider"/>
          <w:i/>
          <w:iCs/>
          <w:sz w:val="22"/>
          <w:szCs w:val="22"/>
        </w:rPr>
        <w:t xml:space="preserve">Via de kwaliteitsdatabank van het departement Werk en Sociale Economie </w:t>
      </w:r>
      <w:r w:rsidR="00DC1D07" w:rsidRPr="0080472E">
        <w:rPr>
          <w:rStyle w:val="ui-provider"/>
          <w:i/>
          <w:iCs/>
          <w:sz w:val="22"/>
          <w:szCs w:val="22"/>
        </w:rPr>
        <w:t>kan nagekeken worden of een bepaalde d</w:t>
      </w:r>
      <w:r w:rsidR="004F280A" w:rsidRPr="0080472E">
        <w:rPr>
          <w:rStyle w:val="ui-provider"/>
          <w:i/>
          <w:iCs/>
          <w:sz w:val="22"/>
          <w:szCs w:val="22"/>
        </w:rPr>
        <w:t xml:space="preserve">ienstverleners </w:t>
      </w:r>
      <w:r w:rsidR="00DC1D07" w:rsidRPr="0080472E">
        <w:rPr>
          <w:rStyle w:val="ui-provider"/>
          <w:i/>
          <w:iCs/>
          <w:sz w:val="22"/>
          <w:szCs w:val="22"/>
        </w:rPr>
        <w:t>in het bezit is van</w:t>
      </w:r>
      <w:r w:rsidR="004F280A" w:rsidRPr="0080472E">
        <w:rPr>
          <w:rStyle w:val="ui-provider"/>
          <w:i/>
          <w:iCs/>
          <w:sz w:val="22"/>
          <w:szCs w:val="22"/>
        </w:rPr>
        <w:t xml:space="preserve"> een kwaliteitsregistratie</w:t>
      </w:r>
      <w:r w:rsidR="00DC1D07" w:rsidRPr="0080472E">
        <w:rPr>
          <w:rStyle w:val="ui-provider"/>
          <w:i/>
          <w:iCs/>
          <w:sz w:val="22"/>
          <w:szCs w:val="22"/>
        </w:rPr>
        <w:t xml:space="preserve">. </w:t>
      </w:r>
    </w:p>
    <w:p w14:paraId="77B72468" w14:textId="77777777" w:rsidR="006373B2" w:rsidRPr="0080472E" w:rsidRDefault="00DC1D07" w:rsidP="002D01F7">
      <w:pPr>
        <w:pStyle w:val="Lijstalinea"/>
        <w:jc w:val="both"/>
        <w:rPr>
          <w:rStyle w:val="ui-provider"/>
          <w:i/>
          <w:iCs/>
          <w:sz w:val="22"/>
          <w:szCs w:val="22"/>
        </w:rPr>
      </w:pPr>
      <w:r w:rsidRPr="0080472E">
        <w:rPr>
          <w:rStyle w:val="ui-provider"/>
          <w:i/>
          <w:iCs/>
          <w:sz w:val="22"/>
          <w:szCs w:val="22"/>
        </w:rPr>
        <w:t>Hierbij de link naar de kwaliteitsdatabank</w:t>
      </w:r>
      <w:r w:rsidR="004F280A" w:rsidRPr="0080472E">
        <w:rPr>
          <w:rStyle w:val="ui-provider"/>
          <w:i/>
          <w:iCs/>
          <w:sz w:val="22"/>
          <w:szCs w:val="22"/>
        </w:rPr>
        <w:t>:</w:t>
      </w:r>
      <w:r w:rsidR="00641BDF" w:rsidRPr="0080472E">
        <w:rPr>
          <w:rStyle w:val="ui-provider"/>
          <w:i/>
          <w:iCs/>
          <w:sz w:val="22"/>
          <w:szCs w:val="22"/>
        </w:rPr>
        <w:t xml:space="preserve"> </w:t>
      </w:r>
    </w:p>
    <w:p w14:paraId="03DAE269" w14:textId="3760BFF0" w:rsidR="00015168" w:rsidRPr="0080472E" w:rsidRDefault="00F8259D" w:rsidP="002D01F7">
      <w:pPr>
        <w:pStyle w:val="Lijstalinea"/>
        <w:jc w:val="both"/>
        <w:rPr>
          <w:rStyle w:val="ui-provider"/>
          <w:i/>
          <w:iCs/>
          <w:sz w:val="22"/>
          <w:szCs w:val="22"/>
        </w:rPr>
      </w:pPr>
      <w:hyperlink r:id="rId15" w:history="1">
        <w:r w:rsidR="006373B2" w:rsidRPr="0080472E">
          <w:rPr>
            <w:rStyle w:val="Hyperlink"/>
            <w:i/>
            <w:iCs/>
            <w:sz w:val="22"/>
            <w:szCs w:val="22"/>
          </w:rPr>
          <w:t>https://www.vlaanderen.be/werken/kwaliteitsdatabank?order_title=asc</w:t>
        </w:r>
      </w:hyperlink>
      <w:r w:rsidR="007E5F5B" w:rsidRPr="0080472E">
        <w:rPr>
          <w:rStyle w:val="ui-provider"/>
          <w:i/>
          <w:iCs/>
          <w:sz w:val="22"/>
          <w:szCs w:val="22"/>
        </w:rPr>
        <w:t xml:space="preserve"> </w:t>
      </w:r>
    </w:p>
    <w:p w14:paraId="7A970352" w14:textId="77777777" w:rsidR="005B2339" w:rsidRPr="0080472E" w:rsidRDefault="005B2339" w:rsidP="002D01F7">
      <w:pPr>
        <w:pStyle w:val="Lijstalinea"/>
        <w:jc w:val="both"/>
        <w:rPr>
          <w:rStyle w:val="ui-provider"/>
          <w:i/>
          <w:iCs/>
          <w:sz w:val="22"/>
          <w:szCs w:val="22"/>
        </w:rPr>
      </w:pPr>
    </w:p>
    <w:p w14:paraId="2DD00FBB" w14:textId="77777777" w:rsidR="005B2339" w:rsidRPr="0080472E" w:rsidRDefault="005B2339" w:rsidP="002D01F7">
      <w:pPr>
        <w:pStyle w:val="Lijstalinea"/>
        <w:jc w:val="both"/>
        <w:rPr>
          <w:rStyle w:val="ui-provider"/>
          <w:i/>
          <w:iCs/>
          <w:sz w:val="22"/>
          <w:szCs w:val="22"/>
        </w:rPr>
      </w:pPr>
    </w:p>
    <w:p w14:paraId="4BFFC4F5" w14:textId="77777777" w:rsidR="005B2339" w:rsidRPr="0080472E" w:rsidRDefault="005B2339" w:rsidP="002D01F7">
      <w:pPr>
        <w:pStyle w:val="Lijstalinea"/>
        <w:jc w:val="both"/>
        <w:rPr>
          <w:rStyle w:val="ui-provider"/>
          <w:i/>
          <w:iCs/>
          <w:sz w:val="22"/>
          <w:szCs w:val="22"/>
        </w:rPr>
      </w:pPr>
    </w:p>
    <w:p w14:paraId="48DC0C49" w14:textId="77777777" w:rsidR="004B2B13" w:rsidRPr="0080472E" w:rsidRDefault="004B2B13" w:rsidP="002D01F7">
      <w:pPr>
        <w:pStyle w:val="Lijstalinea"/>
        <w:jc w:val="both"/>
        <w:rPr>
          <w:rStyle w:val="ui-provider"/>
          <w:i/>
          <w:iCs/>
          <w:sz w:val="22"/>
          <w:szCs w:val="22"/>
        </w:rPr>
      </w:pPr>
    </w:p>
    <w:p w14:paraId="18370AC7" w14:textId="77777777" w:rsidR="004B2B13" w:rsidRPr="0080472E" w:rsidRDefault="004B2B13" w:rsidP="002D01F7">
      <w:pPr>
        <w:pStyle w:val="Lijstalinea"/>
        <w:jc w:val="both"/>
        <w:rPr>
          <w:rStyle w:val="ui-provider"/>
          <w:i/>
          <w:iCs/>
          <w:sz w:val="22"/>
          <w:szCs w:val="22"/>
        </w:rPr>
      </w:pPr>
    </w:p>
    <w:p w14:paraId="22406341" w14:textId="77777777" w:rsidR="009A0581" w:rsidRPr="0080472E" w:rsidRDefault="009A0581" w:rsidP="002D01F7">
      <w:pPr>
        <w:pStyle w:val="Lijstalinea"/>
        <w:jc w:val="both"/>
        <w:rPr>
          <w:rStyle w:val="ui-provider"/>
          <w:i/>
          <w:iCs/>
          <w:sz w:val="22"/>
          <w:szCs w:val="22"/>
        </w:rPr>
      </w:pPr>
    </w:p>
    <w:p w14:paraId="4CD98836" w14:textId="77777777" w:rsidR="009A0581" w:rsidRPr="0080472E" w:rsidRDefault="009A0581" w:rsidP="002D01F7">
      <w:pPr>
        <w:pStyle w:val="Lijstalinea"/>
        <w:jc w:val="both"/>
        <w:rPr>
          <w:rStyle w:val="ui-provider"/>
          <w:i/>
          <w:iCs/>
          <w:sz w:val="22"/>
          <w:szCs w:val="22"/>
        </w:rPr>
      </w:pPr>
    </w:p>
    <w:p w14:paraId="78F8298A" w14:textId="77777777" w:rsidR="009A0581" w:rsidRPr="0080472E" w:rsidRDefault="009A0581" w:rsidP="002D01F7">
      <w:pPr>
        <w:pStyle w:val="Lijstalinea"/>
        <w:jc w:val="both"/>
        <w:rPr>
          <w:rStyle w:val="ui-provider"/>
          <w:i/>
          <w:iCs/>
          <w:sz w:val="22"/>
          <w:szCs w:val="22"/>
        </w:rPr>
      </w:pPr>
    </w:p>
    <w:p w14:paraId="3CB78DE4" w14:textId="77777777" w:rsidR="009A0581" w:rsidRPr="0080472E" w:rsidRDefault="009A0581" w:rsidP="002D01F7">
      <w:pPr>
        <w:pStyle w:val="Lijstalinea"/>
        <w:jc w:val="both"/>
        <w:rPr>
          <w:rStyle w:val="ui-provider"/>
          <w:i/>
          <w:iCs/>
          <w:sz w:val="22"/>
          <w:szCs w:val="22"/>
        </w:rPr>
      </w:pPr>
    </w:p>
    <w:p w14:paraId="5793C018" w14:textId="77777777" w:rsidR="009A0581" w:rsidRPr="0080472E" w:rsidRDefault="009A0581" w:rsidP="002D01F7">
      <w:pPr>
        <w:pStyle w:val="Lijstalinea"/>
        <w:jc w:val="both"/>
        <w:rPr>
          <w:rStyle w:val="ui-provider"/>
          <w:i/>
          <w:iCs/>
          <w:sz w:val="22"/>
          <w:szCs w:val="22"/>
        </w:rPr>
      </w:pPr>
    </w:p>
    <w:p w14:paraId="7B0B2FA0" w14:textId="5FA6E94C" w:rsidR="009A0581" w:rsidRPr="0080472E" w:rsidRDefault="009A0581" w:rsidP="002D01F7">
      <w:pPr>
        <w:pStyle w:val="Lijstalinea"/>
        <w:jc w:val="both"/>
        <w:rPr>
          <w:rStyle w:val="ui-provider"/>
          <w:i/>
          <w:iCs/>
          <w:sz w:val="22"/>
          <w:szCs w:val="22"/>
        </w:rPr>
      </w:pPr>
    </w:p>
    <w:p w14:paraId="3A31033D" w14:textId="77777777" w:rsidR="009A0581" w:rsidRPr="0080472E" w:rsidRDefault="009A0581" w:rsidP="002D01F7">
      <w:pPr>
        <w:pStyle w:val="Lijstalinea"/>
        <w:jc w:val="both"/>
        <w:rPr>
          <w:rStyle w:val="ui-provider"/>
          <w:i/>
          <w:iCs/>
          <w:sz w:val="22"/>
          <w:szCs w:val="22"/>
        </w:rPr>
      </w:pPr>
    </w:p>
    <w:p w14:paraId="6729C8C2" w14:textId="77777777" w:rsidR="004B2B13" w:rsidRPr="0080472E" w:rsidRDefault="004B2B13" w:rsidP="002D01F7">
      <w:pPr>
        <w:pStyle w:val="Lijstalinea"/>
        <w:jc w:val="both"/>
        <w:rPr>
          <w:rStyle w:val="ui-provider"/>
          <w:i/>
          <w:iCs/>
          <w:sz w:val="22"/>
          <w:szCs w:val="22"/>
        </w:rPr>
      </w:pPr>
    </w:p>
    <w:p w14:paraId="15386B71" w14:textId="79BAB089" w:rsidR="005B2339" w:rsidRPr="0080472E" w:rsidRDefault="002F5E7F" w:rsidP="002F5E7F">
      <w:pPr>
        <w:pStyle w:val="Lijstalinea"/>
        <w:numPr>
          <w:ilvl w:val="0"/>
          <w:numId w:val="8"/>
        </w:numPr>
        <w:pBdr>
          <w:bottom w:val="single" w:sz="4" w:space="1" w:color="auto"/>
        </w:pBdr>
        <w:ind w:left="426" w:hanging="284"/>
        <w:rPr>
          <w:b/>
          <w:bCs/>
        </w:rPr>
      </w:pPr>
      <w:r w:rsidRPr="0080472E">
        <w:rPr>
          <w:b/>
          <w:bCs/>
        </w:rPr>
        <w:lastRenderedPageBreak/>
        <w:t>Kosten</w:t>
      </w:r>
      <w:r w:rsidR="005F40D8" w:rsidRPr="0080472E">
        <w:rPr>
          <w:b/>
          <w:bCs/>
        </w:rPr>
        <w:t xml:space="preserve"> en financiering</w:t>
      </w:r>
    </w:p>
    <w:p w14:paraId="2C2DE3B8" w14:textId="77777777" w:rsidR="004231A3" w:rsidRPr="0080472E" w:rsidRDefault="004231A3" w:rsidP="004231A3">
      <w:pPr>
        <w:pStyle w:val="Lijstalinea"/>
        <w:ind w:left="426"/>
        <w:jc w:val="both"/>
        <w:rPr>
          <w:rStyle w:val="ui-provider"/>
          <w:sz w:val="22"/>
          <w:szCs w:val="22"/>
        </w:rPr>
      </w:pPr>
    </w:p>
    <w:p w14:paraId="3C16B6BD" w14:textId="77777777" w:rsidR="004231A3" w:rsidRPr="0080472E" w:rsidRDefault="004231A3" w:rsidP="004231A3">
      <w:pPr>
        <w:pStyle w:val="Lijstalinea"/>
        <w:numPr>
          <w:ilvl w:val="0"/>
          <w:numId w:val="4"/>
        </w:numPr>
        <w:ind w:left="426"/>
        <w:jc w:val="both"/>
        <w:rPr>
          <w:rStyle w:val="ui-provider"/>
          <w:sz w:val="22"/>
          <w:szCs w:val="22"/>
          <w:u w:val="single"/>
        </w:rPr>
      </w:pPr>
      <w:r w:rsidRPr="0080472E">
        <w:rPr>
          <w:rStyle w:val="ui-provider"/>
          <w:sz w:val="22"/>
          <w:szCs w:val="22"/>
          <w:u w:val="single"/>
        </w:rPr>
        <w:t>Is er een maximaal uurtarief voorzien voor de prestaties van projectpersoneel via facturatie?</w:t>
      </w:r>
    </w:p>
    <w:p w14:paraId="0062A624" w14:textId="5EEB088E" w:rsidR="004231A3" w:rsidRPr="0080472E" w:rsidRDefault="004231A3" w:rsidP="004231A3">
      <w:pPr>
        <w:pStyle w:val="Lijstalinea"/>
        <w:numPr>
          <w:ilvl w:val="0"/>
          <w:numId w:val="15"/>
        </w:numPr>
        <w:jc w:val="both"/>
        <w:rPr>
          <w:i/>
          <w:iCs/>
          <w:sz w:val="22"/>
          <w:szCs w:val="22"/>
        </w:rPr>
      </w:pPr>
      <w:r w:rsidRPr="0080472E">
        <w:rPr>
          <w:i/>
          <w:iCs/>
          <w:sz w:val="22"/>
          <w:szCs w:val="22"/>
        </w:rPr>
        <w:t xml:space="preserve">In tegenstelling tot de vorige ESF-programmaperiode is er geen maximaal uurtarief voor projectpersoneel via facturatie. </w:t>
      </w:r>
    </w:p>
    <w:p w14:paraId="0C1C6941" w14:textId="77777777" w:rsidR="004231A3" w:rsidRPr="0080472E" w:rsidRDefault="004231A3" w:rsidP="004231A3">
      <w:pPr>
        <w:pStyle w:val="Lijstalinea"/>
        <w:jc w:val="both"/>
        <w:rPr>
          <w:i/>
          <w:iCs/>
          <w:sz w:val="22"/>
          <w:szCs w:val="22"/>
        </w:rPr>
      </w:pPr>
    </w:p>
    <w:p w14:paraId="638C6D72" w14:textId="77777777" w:rsidR="004231A3" w:rsidRPr="0080472E" w:rsidRDefault="004231A3" w:rsidP="004231A3">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Hoe kunnen we zelfstandigen die factureren aan de organisatie invoeren in de begroting? </w:t>
      </w:r>
    </w:p>
    <w:p w14:paraId="1D4F9B5D" w14:textId="529465B1" w:rsidR="004231A3" w:rsidRPr="0080472E" w:rsidRDefault="004231A3" w:rsidP="004231A3">
      <w:pPr>
        <w:pStyle w:val="Lijstalinea"/>
        <w:numPr>
          <w:ilvl w:val="0"/>
          <w:numId w:val="15"/>
        </w:numPr>
        <w:rPr>
          <w:i/>
          <w:iCs/>
          <w:sz w:val="22"/>
          <w:szCs w:val="22"/>
        </w:rPr>
      </w:pPr>
      <w:r w:rsidRPr="0080472E">
        <w:rPr>
          <w:i/>
          <w:iCs/>
          <w:sz w:val="22"/>
          <w:szCs w:val="22"/>
        </w:rPr>
        <w:t xml:space="preserve">Dit gebeurt via de kostenoptie ‘Projectpersoneel via facturatie’. </w:t>
      </w:r>
    </w:p>
    <w:p w14:paraId="14EAC026" w14:textId="77777777" w:rsidR="005F40D8" w:rsidRPr="0080472E" w:rsidRDefault="005F40D8" w:rsidP="00A57FD3">
      <w:pPr>
        <w:pStyle w:val="Lijstalinea"/>
        <w:rPr>
          <w:i/>
          <w:iCs/>
          <w:sz w:val="22"/>
          <w:szCs w:val="22"/>
        </w:rPr>
      </w:pPr>
    </w:p>
    <w:p w14:paraId="06D0B326" w14:textId="0AAE0289" w:rsidR="005F40D8" w:rsidRPr="0080472E" w:rsidRDefault="005F40D8" w:rsidP="005F40D8">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Hoe wordt de private cofinanciering berekend? </w:t>
      </w:r>
    </w:p>
    <w:p w14:paraId="252B3D05" w14:textId="0F75737A" w:rsidR="005F40D8" w:rsidRPr="0080472E" w:rsidRDefault="005F40D8" w:rsidP="005F40D8">
      <w:pPr>
        <w:pStyle w:val="Lijstalinea"/>
        <w:numPr>
          <w:ilvl w:val="0"/>
          <w:numId w:val="15"/>
        </w:numPr>
        <w:rPr>
          <w:i/>
          <w:iCs/>
          <w:sz w:val="22"/>
          <w:szCs w:val="22"/>
        </w:rPr>
      </w:pPr>
      <w:r w:rsidRPr="0080472E">
        <w:rPr>
          <w:i/>
          <w:iCs/>
          <w:sz w:val="22"/>
          <w:szCs w:val="22"/>
        </w:rPr>
        <w:t xml:space="preserve">De ESF- en VCF-steun is steeds additioneel. Dit wil zeggen dat de ESF- en VCF-bedragen pas kunnen berekend worden na vastlegging van de andere financieringsbronnen, zoals bijvoorbeeld andere publieke cofinanciering, eigen financiering, ontvangsten…. Met andere woorden: de andere financieringsbronnen moeten eerst berekend en benut worden. </w:t>
      </w:r>
      <w:r w:rsidRPr="0080472E">
        <w:rPr>
          <w:i/>
          <w:iCs/>
          <w:sz w:val="22"/>
          <w:szCs w:val="22"/>
        </w:rPr>
        <w:cr/>
      </w:r>
    </w:p>
    <w:p w14:paraId="22AEB305" w14:textId="77777777" w:rsidR="002F5E7F" w:rsidRPr="0080472E" w:rsidRDefault="002F5E7F" w:rsidP="002D01F7">
      <w:pPr>
        <w:pStyle w:val="Lijstalinea"/>
        <w:jc w:val="both"/>
        <w:rPr>
          <w:rStyle w:val="ui-provider"/>
          <w:i/>
          <w:iCs/>
          <w:sz w:val="22"/>
          <w:szCs w:val="22"/>
        </w:rPr>
      </w:pPr>
    </w:p>
    <w:p w14:paraId="02F0AA8D" w14:textId="77777777" w:rsidR="005B2339" w:rsidRPr="0080472E" w:rsidRDefault="005B2339" w:rsidP="002D01F7">
      <w:pPr>
        <w:pStyle w:val="Lijstalinea"/>
        <w:jc w:val="both"/>
        <w:rPr>
          <w:rStyle w:val="ui-provider"/>
          <w:i/>
          <w:iCs/>
          <w:sz w:val="22"/>
          <w:szCs w:val="22"/>
        </w:rPr>
      </w:pPr>
    </w:p>
    <w:p w14:paraId="4EF3BC1B" w14:textId="77777777" w:rsidR="005B2339" w:rsidRPr="0080472E" w:rsidRDefault="005B2339" w:rsidP="002D01F7">
      <w:pPr>
        <w:pStyle w:val="Lijstalinea"/>
        <w:jc w:val="both"/>
        <w:rPr>
          <w:rStyle w:val="ui-provider"/>
          <w:i/>
          <w:iCs/>
          <w:sz w:val="22"/>
          <w:szCs w:val="22"/>
        </w:rPr>
      </w:pPr>
    </w:p>
    <w:p w14:paraId="261277BC" w14:textId="77777777" w:rsidR="005B2339" w:rsidRPr="0080472E" w:rsidRDefault="005B2339" w:rsidP="002D01F7">
      <w:pPr>
        <w:pStyle w:val="Lijstalinea"/>
        <w:jc w:val="both"/>
        <w:rPr>
          <w:rStyle w:val="ui-provider"/>
          <w:i/>
          <w:iCs/>
          <w:sz w:val="22"/>
          <w:szCs w:val="22"/>
        </w:rPr>
      </w:pPr>
    </w:p>
    <w:p w14:paraId="5F152EF0" w14:textId="77777777" w:rsidR="005B2339" w:rsidRPr="0080472E" w:rsidRDefault="005B2339" w:rsidP="002D01F7">
      <w:pPr>
        <w:pStyle w:val="Lijstalinea"/>
        <w:jc w:val="both"/>
        <w:rPr>
          <w:rStyle w:val="ui-provider"/>
          <w:i/>
          <w:iCs/>
          <w:sz w:val="22"/>
          <w:szCs w:val="22"/>
        </w:rPr>
      </w:pPr>
    </w:p>
    <w:p w14:paraId="58FF16D9" w14:textId="77777777" w:rsidR="005B2339" w:rsidRPr="0080472E" w:rsidRDefault="005B2339" w:rsidP="002D01F7">
      <w:pPr>
        <w:pStyle w:val="Lijstalinea"/>
        <w:jc w:val="both"/>
        <w:rPr>
          <w:rStyle w:val="ui-provider"/>
          <w:i/>
          <w:iCs/>
          <w:sz w:val="22"/>
          <w:szCs w:val="22"/>
        </w:rPr>
      </w:pPr>
    </w:p>
    <w:p w14:paraId="5854D387" w14:textId="77777777" w:rsidR="005B2339" w:rsidRPr="0080472E" w:rsidRDefault="005B2339" w:rsidP="002D01F7">
      <w:pPr>
        <w:pStyle w:val="Lijstalinea"/>
        <w:jc w:val="both"/>
        <w:rPr>
          <w:rStyle w:val="ui-provider"/>
          <w:i/>
          <w:iCs/>
          <w:sz w:val="22"/>
          <w:szCs w:val="22"/>
        </w:rPr>
      </w:pPr>
    </w:p>
    <w:p w14:paraId="49FB3733" w14:textId="77777777" w:rsidR="005B2339" w:rsidRPr="0080472E" w:rsidRDefault="005B2339" w:rsidP="002D01F7">
      <w:pPr>
        <w:pStyle w:val="Lijstalinea"/>
        <w:jc w:val="both"/>
        <w:rPr>
          <w:rStyle w:val="ui-provider"/>
          <w:i/>
          <w:iCs/>
          <w:sz w:val="22"/>
          <w:szCs w:val="22"/>
        </w:rPr>
      </w:pPr>
    </w:p>
    <w:p w14:paraId="13C65510" w14:textId="77777777" w:rsidR="005B2339" w:rsidRPr="0080472E" w:rsidRDefault="005B2339" w:rsidP="002D01F7">
      <w:pPr>
        <w:pStyle w:val="Lijstalinea"/>
        <w:jc w:val="both"/>
        <w:rPr>
          <w:rStyle w:val="ui-provider"/>
          <w:i/>
          <w:iCs/>
          <w:sz w:val="22"/>
          <w:szCs w:val="22"/>
        </w:rPr>
      </w:pPr>
    </w:p>
    <w:p w14:paraId="0EE2D69B" w14:textId="77777777" w:rsidR="005B2339" w:rsidRPr="0080472E" w:rsidRDefault="005B2339" w:rsidP="002D01F7">
      <w:pPr>
        <w:pStyle w:val="Lijstalinea"/>
        <w:jc w:val="both"/>
        <w:rPr>
          <w:rStyle w:val="ui-provider"/>
          <w:i/>
          <w:iCs/>
          <w:sz w:val="22"/>
          <w:szCs w:val="22"/>
        </w:rPr>
      </w:pPr>
    </w:p>
    <w:p w14:paraId="1F36076B" w14:textId="77777777" w:rsidR="005B2339" w:rsidRPr="0080472E" w:rsidRDefault="005B2339" w:rsidP="002D01F7">
      <w:pPr>
        <w:pStyle w:val="Lijstalinea"/>
        <w:jc w:val="both"/>
        <w:rPr>
          <w:rStyle w:val="ui-provider"/>
          <w:i/>
          <w:iCs/>
          <w:sz w:val="22"/>
          <w:szCs w:val="22"/>
        </w:rPr>
      </w:pPr>
    </w:p>
    <w:p w14:paraId="56AFAB80" w14:textId="77777777" w:rsidR="005B2339" w:rsidRPr="0080472E" w:rsidRDefault="005B2339" w:rsidP="002D01F7">
      <w:pPr>
        <w:pStyle w:val="Lijstalinea"/>
        <w:jc w:val="both"/>
        <w:rPr>
          <w:rStyle w:val="ui-provider"/>
          <w:i/>
          <w:iCs/>
          <w:sz w:val="22"/>
          <w:szCs w:val="22"/>
        </w:rPr>
      </w:pPr>
    </w:p>
    <w:p w14:paraId="4791A265" w14:textId="77777777" w:rsidR="004B2B13" w:rsidRPr="0080472E" w:rsidRDefault="004B2B13" w:rsidP="002D01F7">
      <w:pPr>
        <w:pStyle w:val="Lijstalinea"/>
        <w:jc w:val="both"/>
        <w:rPr>
          <w:rStyle w:val="ui-provider"/>
          <w:i/>
          <w:iCs/>
          <w:sz w:val="22"/>
          <w:szCs w:val="22"/>
        </w:rPr>
      </w:pPr>
    </w:p>
    <w:p w14:paraId="2D0DEEF4" w14:textId="77777777" w:rsidR="004B2B13" w:rsidRPr="0080472E" w:rsidRDefault="004B2B13" w:rsidP="002D01F7">
      <w:pPr>
        <w:pStyle w:val="Lijstalinea"/>
        <w:jc w:val="both"/>
        <w:rPr>
          <w:rStyle w:val="ui-provider"/>
          <w:i/>
          <w:iCs/>
          <w:sz w:val="22"/>
          <w:szCs w:val="22"/>
        </w:rPr>
      </w:pPr>
    </w:p>
    <w:p w14:paraId="0B524D6C" w14:textId="77777777" w:rsidR="004B2B13" w:rsidRPr="0080472E" w:rsidRDefault="004B2B13" w:rsidP="002D01F7">
      <w:pPr>
        <w:pStyle w:val="Lijstalinea"/>
        <w:jc w:val="both"/>
        <w:rPr>
          <w:rStyle w:val="ui-provider"/>
          <w:i/>
          <w:iCs/>
          <w:sz w:val="22"/>
          <w:szCs w:val="22"/>
        </w:rPr>
      </w:pPr>
    </w:p>
    <w:p w14:paraId="56BB1186" w14:textId="77777777" w:rsidR="004B2B13" w:rsidRPr="0080472E" w:rsidRDefault="004B2B13" w:rsidP="002D01F7">
      <w:pPr>
        <w:pStyle w:val="Lijstalinea"/>
        <w:jc w:val="both"/>
        <w:rPr>
          <w:rStyle w:val="ui-provider"/>
          <w:i/>
          <w:iCs/>
          <w:sz w:val="22"/>
          <w:szCs w:val="22"/>
        </w:rPr>
      </w:pPr>
    </w:p>
    <w:p w14:paraId="3C4E9532" w14:textId="77777777" w:rsidR="004B2B13" w:rsidRPr="0080472E" w:rsidRDefault="004B2B13" w:rsidP="002D01F7">
      <w:pPr>
        <w:pStyle w:val="Lijstalinea"/>
        <w:jc w:val="both"/>
        <w:rPr>
          <w:rStyle w:val="ui-provider"/>
          <w:i/>
          <w:iCs/>
          <w:sz w:val="22"/>
          <w:szCs w:val="22"/>
        </w:rPr>
      </w:pPr>
    </w:p>
    <w:p w14:paraId="0009A378" w14:textId="77777777" w:rsidR="004B2B13" w:rsidRPr="0080472E" w:rsidRDefault="004B2B13" w:rsidP="002D01F7">
      <w:pPr>
        <w:pStyle w:val="Lijstalinea"/>
        <w:jc w:val="both"/>
        <w:rPr>
          <w:rStyle w:val="ui-provider"/>
          <w:i/>
          <w:iCs/>
          <w:sz w:val="22"/>
          <w:szCs w:val="22"/>
        </w:rPr>
      </w:pPr>
    </w:p>
    <w:p w14:paraId="45508FA0" w14:textId="77777777" w:rsidR="004B2B13" w:rsidRPr="0080472E" w:rsidRDefault="004B2B13" w:rsidP="002D01F7">
      <w:pPr>
        <w:pStyle w:val="Lijstalinea"/>
        <w:jc w:val="both"/>
        <w:rPr>
          <w:rStyle w:val="ui-provider"/>
          <w:i/>
          <w:iCs/>
          <w:sz w:val="22"/>
          <w:szCs w:val="22"/>
        </w:rPr>
      </w:pPr>
    </w:p>
    <w:p w14:paraId="06D7EE6C" w14:textId="77777777" w:rsidR="004B2B13" w:rsidRPr="0080472E" w:rsidRDefault="004B2B13" w:rsidP="002D01F7">
      <w:pPr>
        <w:pStyle w:val="Lijstalinea"/>
        <w:jc w:val="both"/>
        <w:rPr>
          <w:rStyle w:val="ui-provider"/>
          <w:i/>
          <w:iCs/>
          <w:sz w:val="22"/>
          <w:szCs w:val="22"/>
        </w:rPr>
      </w:pPr>
    </w:p>
    <w:p w14:paraId="1B71E448" w14:textId="77777777" w:rsidR="004B2B13" w:rsidRPr="0080472E" w:rsidRDefault="004B2B13" w:rsidP="002D01F7">
      <w:pPr>
        <w:pStyle w:val="Lijstalinea"/>
        <w:jc w:val="both"/>
        <w:rPr>
          <w:rStyle w:val="ui-provider"/>
          <w:i/>
          <w:iCs/>
          <w:sz w:val="22"/>
          <w:szCs w:val="22"/>
        </w:rPr>
      </w:pPr>
    </w:p>
    <w:p w14:paraId="2F710934" w14:textId="77777777" w:rsidR="004B2B13" w:rsidRPr="0080472E" w:rsidRDefault="004B2B13" w:rsidP="002D01F7">
      <w:pPr>
        <w:pStyle w:val="Lijstalinea"/>
        <w:jc w:val="both"/>
        <w:rPr>
          <w:rStyle w:val="ui-provider"/>
          <w:i/>
          <w:iCs/>
          <w:sz w:val="22"/>
          <w:szCs w:val="22"/>
        </w:rPr>
      </w:pPr>
    </w:p>
    <w:p w14:paraId="6951E00A" w14:textId="77777777" w:rsidR="004B2B13" w:rsidRPr="0080472E" w:rsidRDefault="004B2B13" w:rsidP="002D01F7">
      <w:pPr>
        <w:pStyle w:val="Lijstalinea"/>
        <w:jc w:val="both"/>
        <w:rPr>
          <w:rStyle w:val="ui-provider"/>
          <w:i/>
          <w:iCs/>
          <w:sz w:val="22"/>
          <w:szCs w:val="22"/>
        </w:rPr>
      </w:pPr>
    </w:p>
    <w:p w14:paraId="56A10CB2" w14:textId="77777777" w:rsidR="004B2B13" w:rsidRPr="0080472E" w:rsidRDefault="004B2B13" w:rsidP="002D01F7">
      <w:pPr>
        <w:pStyle w:val="Lijstalinea"/>
        <w:jc w:val="both"/>
        <w:rPr>
          <w:rStyle w:val="ui-provider"/>
          <w:i/>
          <w:iCs/>
          <w:sz w:val="22"/>
          <w:szCs w:val="22"/>
        </w:rPr>
      </w:pPr>
    </w:p>
    <w:p w14:paraId="33720EC3" w14:textId="77777777" w:rsidR="004B2B13" w:rsidRPr="0080472E" w:rsidRDefault="004B2B13" w:rsidP="002D01F7">
      <w:pPr>
        <w:pStyle w:val="Lijstalinea"/>
        <w:jc w:val="both"/>
        <w:rPr>
          <w:rStyle w:val="ui-provider"/>
          <w:i/>
          <w:iCs/>
          <w:sz w:val="22"/>
          <w:szCs w:val="22"/>
        </w:rPr>
      </w:pPr>
    </w:p>
    <w:p w14:paraId="41DEF9D1" w14:textId="77777777" w:rsidR="004B2B13" w:rsidRPr="0080472E" w:rsidRDefault="004B2B13" w:rsidP="002D01F7">
      <w:pPr>
        <w:pStyle w:val="Lijstalinea"/>
        <w:jc w:val="both"/>
        <w:rPr>
          <w:rStyle w:val="ui-provider"/>
          <w:i/>
          <w:iCs/>
          <w:sz w:val="22"/>
          <w:szCs w:val="22"/>
        </w:rPr>
      </w:pPr>
    </w:p>
    <w:p w14:paraId="1174541A" w14:textId="77777777" w:rsidR="005B2339" w:rsidRPr="0080472E" w:rsidRDefault="005B2339" w:rsidP="002D01F7">
      <w:pPr>
        <w:pStyle w:val="Lijstalinea"/>
        <w:jc w:val="both"/>
      </w:pPr>
    </w:p>
    <w:p w14:paraId="2AE786F9" w14:textId="77777777" w:rsidR="005B2339" w:rsidRPr="0080472E" w:rsidRDefault="005B2339" w:rsidP="002D01F7">
      <w:pPr>
        <w:pStyle w:val="Lijstalinea"/>
        <w:jc w:val="both"/>
      </w:pPr>
    </w:p>
    <w:p w14:paraId="065AAC40" w14:textId="1BE449C8" w:rsidR="005B2339" w:rsidRPr="0080472E" w:rsidRDefault="001D15DE" w:rsidP="001D15DE">
      <w:pPr>
        <w:pStyle w:val="Lijstalinea"/>
        <w:numPr>
          <w:ilvl w:val="0"/>
          <w:numId w:val="8"/>
        </w:numPr>
        <w:pBdr>
          <w:bottom w:val="single" w:sz="4" w:space="1" w:color="auto"/>
        </w:pBdr>
        <w:ind w:left="426" w:hanging="284"/>
        <w:rPr>
          <w:b/>
          <w:bCs/>
          <w:sz w:val="22"/>
          <w:szCs w:val="22"/>
        </w:rPr>
      </w:pPr>
      <w:r w:rsidRPr="0080472E">
        <w:rPr>
          <w:b/>
          <w:bCs/>
          <w:sz w:val="22"/>
          <w:szCs w:val="22"/>
        </w:rPr>
        <w:lastRenderedPageBreak/>
        <w:t>Oproep</w:t>
      </w:r>
    </w:p>
    <w:p w14:paraId="042856B6" w14:textId="77777777" w:rsidR="005B2339" w:rsidRPr="0080472E" w:rsidRDefault="005B2339" w:rsidP="002D01F7">
      <w:pPr>
        <w:pStyle w:val="Lijstalinea"/>
        <w:jc w:val="both"/>
        <w:rPr>
          <w:rStyle w:val="ui-provider"/>
          <w:i/>
          <w:iCs/>
          <w:sz w:val="22"/>
          <w:szCs w:val="22"/>
        </w:rPr>
      </w:pPr>
    </w:p>
    <w:p w14:paraId="05D7897E" w14:textId="77777777" w:rsidR="00D460B4" w:rsidRPr="0080472E" w:rsidRDefault="00D460B4" w:rsidP="00D460B4">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Wordt deze oproep nog eens herhaald? </w:t>
      </w:r>
    </w:p>
    <w:p w14:paraId="38C255C1" w14:textId="25D069DD" w:rsidR="00D460B4" w:rsidRPr="0080472E" w:rsidRDefault="00D460B4" w:rsidP="00D460B4">
      <w:pPr>
        <w:pStyle w:val="Lijstalinea"/>
        <w:numPr>
          <w:ilvl w:val="0"/>
          <w:numId w:val="3"/>
        </w:numPr>
        <w:rPr>
          <w:i/>
          <w:iCs/>
          <w:sz w:val="22"/>
          <w:szCs w:val="22"/>
        </w:rPr>
      </w:pPr>
      <w:r w:rsidRPr="0080472E">
        <w:rPr>
          <w:i/>
          <w:iCs/>
          <w:sz w:val="22"/>
          <w:szCs w:val="22"/>
        </w:rPr>
        <w:t>Momenteel is er geen nieuwe</w:t>
      </w:r>
      <w:r w:rsidR="009A0581" w:rsidRPr="0080472E">
        <w:rPr>
          <w:i/>
          <w:iCs/>
          <w:sz w:val="22"/>
          <w:szCs w:val="22"/>
        </w:rPr>
        <w:t xml:space="preserve"> oproep</w:t>
      </w:r>
      <w:r w:rsidRPr="0080472E">
        <w:rPr>
          <w:i/>
          <w:iCs/>
          <w:sz w:val="22"/>
          <w:szCs w:val="22"/>
        </w:rPr>
        <w:t xml:space="preserve"> Anders Organiseren</w:t>
      </w:r>
      <w:r w:rsidR="009A0581" w:rsidRPr="0080472E">
        <w:rPr>
          <w:i/>
          <w:iCs/>
          <w:sz w:val="22"/>
          <w:szCs w:val="22"/>
        </w:rPr>
        <w:t xml:space="preserve"> </w:t>
      </w:r>
      <w:r w:rsidRPr="0080472E">
        <w:rPr>
          <w:i/>
          <w:iCs/>
          <w:sz w:val="22"/>
          <w:szCs w:val="22"/>
        </w:rPr>
        <w:t xml:space="preserve">voorzien. </w:t>
      </w:r>
    </w:p>
    <w:p w14:paraId="23F1A2B9" w14:textId="77777777" w:rsidR="004B2B13" w:rsidRPr="0080472E" w:rsidRDefault="004B2B13" w:rsidP="004B2B13">
      <w:pPr>
        <w:pStyle w:val="Lijstalinea"/>
        <w:rPr>
          <w:i/>
          <w:iCs/>
          <w:sz w:val="22"/>
          <w:szCs w:val="22"/>
        </w:rPr>
      </w:pPr>
    </w:p>
    <w:p w14:paraId="78DC4371" w14:textId="77777777" w:rsidR="004B2B13" w:rsidRPr="0080472E" w:rsidRDefault="004B2B13" w:rsidP="004B2B13">
      <w:pPr>
        <w:pStyle w:val="Lijstalinea"/>
        <w:rPr>
          <w:i/>
          <w:iCs/>
          <w:sz w:val="22"/>
          <w:szCs w:val="22"/>
        </w:rPr>
      </w:pPr>
    </w:p>
    <w:p w14:paraId="6792A971" w14:textId="77777777" w:rsidR="004B2B13" w:rsidRPr="0080472E" w:rsidRDefault="004B2B13" w:rsidP="004B2B13">
      <w:pPr>
        <w:pStyle w:val="Lijstalinea"/>
        <w:rPr>
          <w:i/>
          <w:iCs/>
          <w:sz w:val="22"/>
          <w:szCs w:val="22"/>
        </w:rPr>
      </w:pPr>
    </w:p>
    <w:p w14:paraId="14370BFD" w14:textId="77777777" w:rsidR="004B2B13" w:rsidRPr="0080472E" w:rsidRDefault="004B2B13" w:rsidP="004B2B13">
      <w:pPr>
        <w:pStyle w:val="Lijstalinea"/>
        <w:rPr>
          <w:i/>
          <w:iCs/>
          <w:sz w:val="22"/>
          <w:szCs w:val="22"/>
        </w:rPr>
      </w:pPr>
    </w:p>
    <w:p w14:paraId="3A0BDDA5" w14:textId="77777777" w:rsidR="004B2B13" w:rsidRPr="0080472E" w:rsidRDefault="004B2B13" w:rsidP="004B2B13">
      <w:pPr>
        <w:pStyle w:val="Lijstalinea"/>
        <w:rPr>
          <w:i/>
          <w:iCs/>
          <w:sz w:val="22"/>
          <w:szCs w:val="22"/>
        </w:rPr>
      </w:pPr>
    </w:p>
    <w:p w14:paraId="4183443B" w14:textId="77777777" w:rsidR="004B2B13" w:rsidRPr="0080472E" w:rsidRDefault="004B2B13" w:rsidP="004B2B13">
      <w:pPr>
        <w:pStyle w:val="Lijstalinea"/>
        <w:rPr>
          <w:i/>
          <w:iCs/>
          <w:sz w:val="22"/>
          <w:szCs w:val="22"/>
        </w:rPr>
      </w:pPr>
    </w:p>
    <w:p w14:paraId="3E2A0F9F" w14:textId="77777777" w:rsidR="004B2B13" w:rsidRPr="0080472E" w:rsidRDefault="004B2B13" w:rsidP="004B2B13">
      <w:pPr>
        <w:pStyle w:val="Lijstalinea"/>
        <w:rPr>
          <w:i/>
          <w:iCs/>
          <w:sz w:val="22"/>
          <w:szCs w:val="22"/>
        </w:rPr>
      </w:pPr>
    </w:p>
    <w:p w14:paraId="758B4DA2" w14:textId="77777777" w:rsidR="004B2B13" w:rsidRPr="0080472E" w:rsidRDefault="004B2B13" w:rsidP="004B2B13">
      <w:pPr>
        <w:pStyle w:val="Lijstalinea"/>
        <w:rPr>
          <w:i/>
          <w:iCs/>
          <w:sz w:val="22"/>
          <w:szCs w:val="22"/>
        </w:rPr>
      </w:pPr>
    </w:p>
    <w:p w14:paraId="1356C21D" w14:textId="77777777" w:rsidR="004B2B13" w:rsidRPr="0080472E" w:rsidRDefault="004B2B13" w:rsidP="004B2B13">
      <w:pPr>
        <w:pStyle w:val="Lijstalinea"/>
        <w:rPr>
          <w:i/>
          <w:iCs/>
          <w:sz w:val="22"/>
          <w:szCs w:val="22"/>
        </w:rPr>
      </w:pPr>
    </w:p>
    <w:p w14:paraId="754A5122" w14:textId="77777777" w:rsidR="004B2B13" w:rsidRPr="0080472E" w:rsidRDefault="004B2B13" w:rsidP="004B2B13">
      <w:pPr>
        <w:pStyle w:val="Lijstalinea"/>
        <w:rPr>
          <w:i/>
          <w:iCs/>
          <w:sz w:val="22"/>
          <w:szCs w:val="22"/>
        </w:rPr>
      </w:pPr>
    </w:p>
    <w:p w14:paraId="04C1BD63" w14:textId="77777777" w:rsidR="004B2B13" w:rsidRPr="0080472E" w:rsidRDefault="004B2B13" w:rsidP="004B2B13">
      <w:pPr>
        <w:pStyle w:val="Lijstalinea"/>
        <w:rPr>
          <w:i/>
          <w:iCs/>
          <w:sz w:val="22"/>
          <w:szCs w:val="22"/>
        </w:rPr>
      </w:pPr>
    </w:p>
    <w:p w14:paraId="4F6629E4" w14:textId="77777777" w:rsidR="004B2B13" w:rsidRPr="0080472E" w:rsidRDefault="004B2B13" w:rsidP="004B2B13">
      <w:pPr>
        <w:pStyle w:val="Lijstalinea"/>
        <w:rPr>
          <w:i/>
          <w:iCs/>
          <w:sz w:val="22"/>
          <w:szCs w:val="22"/>
        </w:rPr>
      </w:pPr>
    </w:p>
    <w:p w14:paraId="4F98FEF1" w14:textId="77777777" w:rsidR="004B2B13" w:rsidRPr="0080472E" w:rsidRDefault="004B2B13" w:rsidP="004B2B13">
      <w:pPr>
        <w:pStyle w:val="Lijstalinea"/>
        <w:rPr>
          <w:i/>
          <w:iCs/>
          <w:sz w:val="22"/>
          <w:szCs w:val="22"/>
        </w:rPr>
      </w:pPr>
    </w:p>
    <w:p w14:paraId="33CDA72B" w14:textId="77777777" w:rsidR="004B2B13" w:rsidRPr="0080472E" w:rsidRDefault="004B2B13" w:rsidP="004B2B13">
      <w:pPr>
        <w:pStyle w:val="Lijstalinea"/>
        <w:rPr>
          <w:i/>
          <w:iCs/>
          <w:sz w:val="22"/>
          <w:szCs w:val="22"/>
        </w:rPr>
      </w:pPr>
    </w:p>
    <w:p w14:paraId="64AA6535" w14:textId="77777777" w:rsidR="004B2B13" w:rsidRPr="0080472E" w:rsidRDefault="004B2B13" w:rsidP="004B2B13">
      <w:pPr>
        <w:pStyle w:val="Lijstalinea"/>
        <w:rPr>
          <w:i/>
          <w:iCs/>
          <w:sz w:val="22"/>
          <w:szCs w:val="22"/>
        </w:rPr>
      </w:pPr>
    </w:p>
    <w:p w14:paraId="39BB6F26" w14:textId="77777777" w:rsidR="004B2B13" w:rsidRPr="0080472E" w:rsidRDefault="004B2B13" w:rsidP="004B2B13">
      <w:pPr>
        <w:pStyle w:val="Lijstalinea"/>
        <w:rPr>
          <w:i/>
          <w:iCs/>
          <w:sz w:val="22"/>
          <w:szCs w:val="22"/>
        </w:rPr>
      </w:pPr>
    </w:p>
    <w:p w14:paraId="377EB32A" w14:textId="77777777" w:rsidR="004B2B13" w:rsidRPr="0080472E" w:rsidRDefault="004B2B13" w:rsidP="004B2B13">
      <w:pPr>
        <w:pStyle w:val="Lijstalinea"/>
        <w:rPr>
          <w:i/>
          <w:iCs/>
          <w:sz w:val="22"/>
          <w:szCs w:val="22"/>
        </w:rPr>
      </w:pPr>
    </w:p>
    <w:p w14:paraId="73BCBA63" w14:textId="77777777" w:rsidR="004B2B13" w:rsidRPr="0080472E" w:rsidRDefault="004B2B13" w:rsidP="004B2B13">
      <w:pPr>
        <w:pStyle w:val="Lijstalinea"/>
        <w:rPr>
          <w:i/>
          <w:iCs/>
          <w:sz w:val="22"/>
          <w:szCs w:val="22"/>
        </w:rPr>
      </w:pPr>
    </w:p>
    <w:p w14:paraId="0EED1CF6" w14:textId="77777777" w:rsidR="004B2B13" w:rsidRPr="0080472E" w:rsidRDefault="004B2B13" w:rsidP="004B2B13">
      <w:pPr>
        <w:pStyle w:val="Lijstalinea"/>
        <w:rPr>
          <w:i/>
          <w:iCs/>
          <w:sz w:val="22"/>
          <w:szCs w:val="22"/>
        </w:rPr>
      </w:pPr>
    </w:p>
    <w:p w14:paraId="0020AAC2" w14:textId="77777777" w:rsidR="004B2B13" w:rsidRPr="0080472E" w:rsidRDefault="004B2B13" w:rsidP="004B2B13">
      <w:pPr>
        <w:pStyle w:val="Lijstalinea"/>
        <w:rPr>
          <w:i/>
          <w:iCs/>
          <w:sz w:val="22"/>
          <w:szCs w:val="22"/>
        </w:rPr>
      </w:pPr>
    </w:p>
    <w:p w14:paraId="3A7E44E9" w14:textId="77777777" w:rsidR="004B2B13" w:rsidRPr="0080472E" w:rsidRDefault="004B2B13" w:rsidP="004B2B13">
      <w:pPr>
        <w:pStyle w:val="Lijstalinea"/>
        <w:rPr>
          <w:i/>
          <w:iCs/>
          <w:sz w:val="22"/>
          <w:szCs w:val="22"/>
        </w:rPr>
      </w:pPr>
    </w:p>
    <w:p w14:paraId="70594F01" w14:textId="77777777" w:rsidR="004B2B13" w:rsidRPr="0080472E" w:rsidRDefault="004B2B13" w:rsidP="004B2B13">
      <w:pPr>
        <w:pStyle w:val="Lijstalinea"/>
        <w:rPr>
          <w:i/>
          <w:iCs/>
          <w:sz w:val="22"/>
          <w:szCs w:val="22"/>
        </w:rPr>
      </w:pPr>
    </w:p>
    <w:p w14:paraId="75A6C7F5" w14:textId="77777777" w:rsidR="004B2B13" w:rsidRPr="0080472E" w:rsidRDefault="004B2B13" w:rsidP="004B2B13">
      <w:pPr>
        <w:pStyle w:val="Lijstalinea"/>
        <w:rPr>
          <w:i/>
          <w:iCs/>
          <w:sz w:val="22"/>
          <w:szCs w:val="22"/>
        </w:rPr>
      </w:pPr>
    </w:p>
    <w:p w14:paraId="5836D0E6" w14:textId="77777777" w:rsidR="004B2B13" w:rsidRPr="0080472E" w:rsidRDefault="004B2B13" w:rsidP="004B2B13">
      <w:pPr>
        <w:pStyle w:val="Lijstalinea"/>
        <w:rPr>
          <w:i/>
          <w:iCs/>
          <w:sz w:val="22"/>
          <w:szCs w:val="22"/>
        </w:rPr>
      </w:pPr>
    </w:p>
    <w:p w14:paraId="6BE8D17D" w14:textId="77777777" w:rsidR="004B2B13" w:rsidRPr="0080472E" w:rsidRDefault="004B2B13" w:rsidP="004B2B13">
      <w:pPr>
        <w:pStyle w:val="Lijstalinea"/>
        <w:rPr>
          <w:i/>
          <w:iCs/>
          <w:sz w:val="22"/>
          <w:szCs w:val="22"/>
        </w:rPr>
      </w:pPr>
    </w:p>
    <w:p w14:paraId="37133A5F" w14:textId="77777777" w:rsidR="004B2B13" w:rsidRPr="0080472E" w:rsidRDefault="004B2B13" w:rsidP="004B2B13">
      <w:pPr>
        <w:pStyle w:val="Lijstalinea"/>
        <w:rPr>
          <w:i/>
          <w:iCs/>
          <w:sz w:val="22"/>
          <w:szCs w:val="22"/>
        </w:rPr>
      </w:pPr>
    </w:p>
    <w:p w14:paraId="2D8A889B" w14:textId="77777777" w:rsidR="004B2B13" w:rsidRPr="0080472E" w:rsidRDefault="004B2B13" w:rsidP="004B2B13">
      <w:pPr>
        <w:pStyle w:val="Lijstalinea"/>
        <w:rPr>
          <w:i/>
          <w:iCs/>
          <w:sz w:val="22"/>
          <w:szCs w:val="22"/>
        </w:rPr>
      </w:pPr>
    </w:p>
    <w:p w14:paraId="4D5C08A3" w14:textId="77777777" w:rsidR="004B2B13" w:rsidRPr="0080472E" w:rsidRDefault="004B2B13" w:rsidP="004B2B13">
      <w:pPr>
        <w:pStyle w:val="Lijstalinea"/>
        <w:rPr>
          <w:i/>
          <w:iCs/>
          <w:sz w:val="22"/>
          <w:szCs w:val="22"/>
        </w:rPr>
      </w:pPr>
    </w:p>
    <w:p w14:paraId="29FFDEB9" w14:textId="77777777" w:rsidR="004B2B13" w:rsidRPr="0080472E" w:rsidRDefault="004B2B13" w:rsidP="004B2B13">
      <w:pPr>
        <w:pStyle w:val="Lijstalinea"/>
        <w:rPr>
          <w:i/>
          <w:iCs/>
          <w:sz w:val="22"/>
          <w:szCs w:val="22"/>
        </w:rPr>
      </w:pPr>
    </w:p>
    <w:p w14:paraId="7CDA4789" w14:textId="77777777" w:rsidR="004B2B13" w:rsidRPr="0080472E" w:rsidRDefault="004B2B13" w:rsidP="004B2B13">
      <w:pPr>
        <w:pStyle w:val="Lijstalinea"/>
        <w:rPr>
          <w:i/>
          <w:iCs/>
          <w:sz w:val="22"/>
          <w:szCs w:val="22"/>
        </w:rPr>
      </w:pPr>
    </w:p>
    <w:p w14:paraId="14EC8697" w14:textId="77777777" w:rsidR="004B2B13" w:rsidRPr="0080472E" w:rsidRDefault="004B2B13" w:rsidP="004B2B13">
      <w:pPr>
        <w:pStyle w:val="Lijstalinea"/>
        <w:rPr>
          <w:i/>
          <w:iCs/>
          <w:sz w:val="22"/>
          <w:szCs w:val="22"/>
        </w:rPr>
      </w:pPr>
    </w:p>
    <w:p w14:paraId="3C85E2FE" w14:textId="77777777" w:rsidR="004B2B13" w:rsidRPr="0080472E" w:rsidRDefault="004B2B13" w:rsidP="004B2B13">
      <w:pPr>
        <w:pStyle w:val="Lijstalinea"/>
        <w:rPr>
          <w:i/>
          <w:iCs/>
          <w:sz w:val="22"/>
          <w:szCs w:val="22"/>
        </w:rPr>
      </w:pPr>
    </w:p>
    <w:p w14:paraId="02A427FC" w14:textId="77777777" w:rsidR="004B2B13" w:rsidRPr="0080472E" w:rsidRDefault="004B2B13" w:rsidP="004B2B13">
      <w:pPr>
        <w:pStyle w:val="Lijstalinea"/>
        <w:rPr>
          <w:i/>
          <w:iCs/>
          <w:sz w:val="22"/>
          <w:szCs w:val="22"/>
        </w:rPr>
      </w:pPr>
    </w:p>
    <w:p w14:paraId="54EEA68C" w14:textId="77777777" w:rsidR="004B2B13" w:rsidRPr="0080472E" w:rsidRDefault="004B2B13" w:rsidP="004B2B13">
      <w:pPr>
        <w:pStyle w:val="Lijstalinea"/>
        <w:rPr>
          <w:i/>
          <w:iCs/>
          <w:sz w:val="22"/>
          <w:szCs w:val="22"/>
        </w:rPr>
      </w:pPr>
    </w:p>
    <w:p w14:paraId="34904D71" w14:textId="77777777" w:rsidR="004B2B13" w:rsidRPr="0080472E" w:rsidRDefault="004B2B13" w:rsidP="004B2B13">
      <w:pPr>
        <w:pStyle w:val="Lijstalinea"/>
        <w:rPr>
          <w:i/>
          <w:iCs/>
          <w:sz w:val="22"/>
          <w:szCs w:val="22"/>
        </w:rPr>
      </w:pPr>
    </w:p>
    <w:p w14:paraId="232F09FC" w14:textId="77777777" w:rsidR="004B2B13" w:rsidRPr="0080472E" w:rsidRDefault="004B2B13" w:rsidP="004B2B13">
      <w:pPr>
        <w:pStyle w:val="Lijstalinea"/>
        <w:rPr>
          <w:i/>
          <w:iCs/>
          <w:sz w:val="22"/>
          <w:szCs w:val="22"/>
        </w:rPr>
      </w:pPr>
    </w:p>
    <w:p w14:paraId="0B2FBD64" w14:textId="77777777" w:rsidR="004B2B13" w:rsidRPr="0080472E" w:rsidRDefault="004B2B13" w:rsidP="004B2B13">
      <w:pPr>
        <w:pStyle w:val="Lijstalinea"/>
        <w:rPr>
          <w:i/>
          <w:iCs/>
          <w:sz w:val="22"/>
          <w:szCs w:val="22"/>
        </w:rPr>
      </w:pPr>
    </w:p>
    <w:p w14:paraId="180541DC" w14:textId="77777777" w:rsidR="004B2B13" w:rsidRPr="0080472E" w:rsidRDefault="004B2B13" w:rsidP="004B2B13">
      <w:pPr>
        <w:pStyle w:val="Lijstalinea"/>
        <w:rPr>
          <w:i/>
          <w:iCs/>
          <w:sz w:val="22"/>
          <w:szCs w:val="22"/>
        </w:rPr>
      </w:pPr>
    </w:p>
    <w:p w14:paraId="7E717FE1" w14:textId="77777777" w:rsidR="004B2B13" w:rsidRPr="0080472E" w:rsidRDefault="004B2B13" w:rsidP="004B2B13">
      <w:pPr>
        <w:pStyle w:val="Lijstalinea"/>
        <w:rPr>
          <w:i/>
          <w:iCs/>
          <w:sz w:val="22"/>
          <w:szCs w:val="22"/>
        </w:rPr>
      </w:pPr>
    </w:p>
    <w:p w14:paraId="1271AF3F" w14:textId="77777777" w:rsidR="00A47DCA" w:rsidRPr="0080472E" w:rsidRDefault="00A47DCA" w:rsidP="002D01F7">
      <w:pPr>
        <w:pStyle w:val="Lijstalinea"/>
        <w:jc w:val="both"/>
        <w:rPr>
          <w:i/>
          <w:iCs/>
          <w:sz w:val="22"/>
          <w:szCs w:val="22"/>
        </w:rPr>
      </w:pPr>
    </w:p>
    <w:p w14:paraId="6C53C97D" w14:textId="3CD813FD" w:rsidR="005B2339" w:rsidRPr="0080472E" w:rsidRDefault="00A47DCA" w:rsidP="005B2339">
      <w:pPr>
        <w:pStyle w:val="Lijstalinea"/>
        <w:numPr>
          <w:ilvl w:val="0"/>
          <w:numId w:val="8"/>
        </w:numPr>
        <w:pBdr>
          <w:bottom w:val="single" w:sz="4" w:space="1" w:color="auto"/>
        </w:pBdr>
        <w:ind w:left="426" w:hanging="284"/>
        <w:rPr>
          <w:b/>
          <w:bCs/>
          <w:sz w:val="22"/>
          <w:szCs w:val="22"/>
        </w:rPr>
      </w:pPr>
      <w:r w:rsidRPr="0080472E">
        <w:rPr>
          <w:b/>
          <w:bCs/>
          <w:sz w:val="22"/>
          <w:szCs w:val="22"/>
        </w:rPr>
        <w:lastRenderedPageBreak/>
        <w:t>PLATOS</w:t>
      </w:r>
    </w:p>
    <w:p w14:paraId="10CD9599" w14:textId="77777777" w:rsidR="005B2339" w:rsidRPr="0080472E" w:rsidRDefault="005B2339" w:rsidP="005B2339">
      <w:pPr>
        <w:pStyle w:val="Lijstalinea"/>
        <w:ind w:left="426"/>
        <w:jc w:val="both"/>
        <w:rPr>
          <w:rStyle w:val="ui-provider"/>
          <w:sz w:val="22"/>
          <w:szCs w:val="22"/>
        </w:rPr>
      </w:pPr>
    </w:p>
    <w:p w14:paraId="5D79A963" w14:textId="788B3DC5" w:rsidR="005B2339" w:rsidRPr="0080472E" w:rsidRDefault="005B2339" w:rsidP="005B2339">
      <w:pPr>
        <w:pStyle w:val="Lijstalinea"/>
        <w:numPr>
          <w:ilvl w:val="0"/>
          <w:numId w:val="4"/>
        </w:numPr>
        <w:ind w:left="426"/>
        <w:jc w:val="both"/>
        <w:rPr>
          <w:rStyle w:val="ui-provider"/>
          <w:sz w:val="22"/>
          <w:szCs w:val="22"/>
          <w:u w:val="single"/>
        </w:rPr>
      </w:pPr>
      <w:r w:rsidRPr="0080472E">
        <w:rPr>
          <w:rStyle w:val="ui-provider"/>
          <w:sz w:val="22"/>
          <w:szCs w:val="22"/>
          <w:u w:val="single"/>
        </w:rPr>
        <w:t xml:space="preserve">Welke gebruikersrechten zijn nodig om een projectaanvraag te kunnen indienen? </w:t>
      </w:r>
    </w:p>
    <w:p w14:paraId="1F64139B" w14:textId="40F885D3" w:rsidR="005B2339" w:rsidRPr="0080472E" w:rsidRDefault="005B2339" w:rsidP="005B2339">
      <w:pPr>
        <w:pStyle w:val="Lijstalinea"/>
        <w:numPr>
          <w:ilvl w:val="0"/>
          <w:numId w:val="3"/>
        </w:numPr>
        <w:rPr>
          <w:i/>
          <w:iCs/>
          <w:sz w:val="22"/>
          <w:szCs w:val="22"/>
        </w:rPr>
      </w:pPr>
      <w:r w:rsidRPr="0080472E">
        <w:rPr>
          <w:i/>
          <w:iCs/>
          <w:sz w:val="22"/>
          <w:szCs w:val="22"/>
        </w:rPr>
        <w:t xml:space="preserve">Je kan een van deze twee rollen opnemen: </w:t>
      </w:r>
    </w:p>
    <w:p w14:paraId="5D50F693" w14:textId="77777777" w:rsidR="005B2339" w:rsidRPr="0080472E" w:rsidRDefault="005B2339" w:rsidP="005B2339">
      <w:pPr>
        <w:pStyle w:val="Lijstalinea"/>
        <w:numPr>
          <w:ilvl w:val="1"/>
          <w:numId w:val="3"/>
        </w:numPr>
        <w:rPr>
          <w:i/>
          <w:iCs/>
          <w:sz w:val="22"/>
          <w:szCs w:val="22"/>
        </w:rPr>
      </w:pPr>
      <w:r w:rsidRPr="0080472E">
        <w:rPr>
          <w:i/>
          <w:iCs/>
          <w:sz w:val="22"/>
          <w:szCs w:val="22"/>
        </w:rPr>
        <w:t>Rol '</w:t>
      </w:r>
      <w:r w:rsidRPr="0080472E">
        <w:rPr>
          <w:b/>
          <w:bCs/>
          <w:i/>
          <w:iCs/>
          <w:sz w:val="22"/>
          <w:szCs w:val="22"/>
        </w:rPr>
        <w:t>Organisatieverantwoordelijke</w:t>
      </w:r>
      <w:r w:rsidRPr="0080472E">
        <w:rPr>
          <w:i/>
          <w:iCs/>
          <w:sz w:val="22"/>
          <w:szCs w:val="22"/>
        </w:rPr>
        <w:t>' (gekoppeld aan het gebruikersrecht 'DWSE-organisatieverantwoordelijke' voor de maatregel Platos) </w:t>
      </w:r>
    </w:p>
    <w:p w14:paraId="06105A5F" w14:textId="77777777" w:rsidR="005B2339" w:rsidRPr="0080472E" w:rsidRDefault="005B2339" w:rsidP="005B2339">
      <w:pPr>
        <w:pStyle w:val="Lijstalinea"/>
        <w:numPr>
          <w:ilvl w:val="1"/>
          <w:numId w:val="3"/>
        </w:numPr>
        <w:rPr>
          <w:i/>
          <w:iCs/>
          <w:sz w:val="22"/>
          <w:szCs w:val="22"/>
        </w:rPr>
      </w:pPr>
      <w:r w:rsidRPr="0080472E">
        <w:rPr>
          <w:i/>
          <w:iCs/>
          <w:sz w:val="22"/>
          <w:szCs w:val="22"/>
        </w:rPr>
        <w:t>Rol </w:t>
      </w:r>
      <w:r w:rsidRPr="0080472E">
        <w:rPr>
          <w:b/>
          <w:bCs/>
          <w:i/>
          <w:iCs/>
          <w:sz w:val="22"/>
          <w:szCs w:val="22"/>
        </w:rPr>
        <w:t>'Projectverantwoordelijke</w:t>
      </w:r>
      <w:r w:rsidRPr="0080472E">
        <w:rPr>
          <w:i/>
          <w:iCs/>
          <w:sz w:val="22"/>
          <w:szCs w:val="22"/>
        </w:rPr>
        <w:t>' (gekoppeld aan het gebruikersrecht 'DWSE-projectverantwoordelijke' voor de maatregel Platos)</w:t>
      </w:r>
    </w:p>
    <w:p w14:paraId="3C679061" w14:textId="3347C5FF" w:rsidR="005B2339" w:rsidRPr="0080472E" w:rsidRDefault="005B2339" w:rsidP="005B2339">
      <w:pPr>
        <w:pStyle w:val="Lijstalinea"/>
        <w:numPr>
          <w:ilvl w:val="0"/>
          <w:numId w:val="3"/>
        </w:numPr>
        <w:rPr>
          <w:i/>
          <w:iCs/>
          <w:sz w:val="22"/>
          <w:szCs w:val="22"/>
        </w:rPr>
      </w:pPr>
      <w:r w:rsidRPr="0080472E">
        <w:rPr>
          <w:i/>
          <w:iCs/>
          <w:sz w:val="22"/>
          <w:szCs w:val="22"/>
        </w:rPr>
        <w:t>Een organisatieverantwoordelijke kan een aanvraag indienen en onderschrijven. Een 'projectverantwoordelijke' kan een aanvraag indienen, maar niet onderschrijven. </w:t>
      </w:r>
    </w:p>
    <w:p w14:paraId="6C1AB6F9" w14:textId="07575143" w:rsidR="005B2339" w:rsidRPr="0080472E" w:rsidRDefault="005B2339" w:rsidP="005B2339">
      <w:pPr>
        <w:pStyle w:val="Lijstalinea"/>
        <w:numPr>
          <w:ilvl w:val="0"/>
          <w:numId w:val="3"/>
        </w:numPr>
        <w:rPr>
          <w:i/>
          <w:iCs/>
          <w:sz w:val="22"/>
          <w:szCs w:val="22"/>
        </w:rPr>
      </w:pPr>
      <w:r w:rsidRPr="0080472E">
        <w:rPr>
          <w:i/>
          <w:iCs/>
          <w:sz w:val="22"/>
          <w:szCs w:val="22"/>
        </w:rPr>
        <w:t>Wanneer een projectverantwoordelijke de aanvraag indient en de aanvraag bijgevolg niet onderschreven is door een organisatieverantwoordelijke, volgt een herinnering van Europa WSE om dit zo snel mogelijk in orde te brengen. Indien dit niet in orde gebracht wordt, dan wordt</w:t>
      </w:r>
      <w:r w:rsidR="00527485" w:rsidRPr="0080472E">
        <w:rPr>
          <w:i/>
          <w:iCs/>
          <w:sz w:val="22"/>
          <w:szCs w:val="22"/>
        </w:rPr>
        <w:t xml:space="preserve"> bij evaluatie</w:t>
      </w:r>
      <w:r w:rsidRPr="0080472E">
        <w:rPr>
          <w:i/>
          <w:iCs/>
          <w:sz w:val="22"/>
          <w:szCs w:val="22"/>
        </w:rPr>
        <w:t xml:space="preserve"> een negatieve beslissing uitgesproken.</w:t>
      </w:r>
    </w:p>
    <w:p w14:paraId="479E0E4A" w14:textId="57EA5136" w:rsidR="005B2339" w:rsidRPr="005B2339" w:rsidRDefault="005B2339" w:rsidP="005B2339">
      <w:pPr>
        <w:tabs>
          <w:tab w:val="left" w:pos="2170"/>
        </w:tabs>
      </w:pPr>
    </w:p>
    <w:sectPr w:rsidR="005B2339" w:rsidRPr="005B233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F0FEF" w14:textId="77777777" w:rsidR="0079146B" w:rsidRDefault="0079146B" w:rsidP="006147F5">
      <w:pPr>
        <w:spacing w:after="0" w:line="240" w:lineRule="auto"/>
      </w:pPr>
      <w:r>
        <w:separator/>
      </w:r>
    </w:p>
  </w:endnote>
  <w:endnote w:type="continuationSeparator" w:id="0">
    <w:p w14:paraId="6F0475FF" w14:textId="77777777" w:rsidR="0079146B" w:rsidRDefault="0079146B" w:rsidP="006147F5">
      <w:pPr>
        <w:spacing w:after="0" w:line="240" w:lineRule="auto"/>
      </w:pPr>
      <w:r>
        <w:continuationSeparator/>
      </w:r>
    </w:p>
  </w:endnote>
  <w:endnote w:type="continuationNotice" w:id="1">
    <w:p w14:paraId="5384C944" w14:textId="77777777" w:rsidR="0079146B" w:rsidRDefault="00791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landers Art Sans">
    <w:altName w:val="Calibri"/>
    <w:panose1 w:val="00000000000000000000"/>
    <w:charset w:val="00"/>
    <w:family w:val="modern"/>
    <w:notTrueType/>
    <w:pitch w:val="variable"/>
    <w:sig w:usb0="00000001"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E2D25" w14:textId="77777777" w:rsidR="00713881" w:rsidRDefault="00713881" w:rsidP="00713881">
    <w:pPr>
      <w:pStyle w:val="Voettekst"/>
      <w:pBdr>
        <w:top w:val="single" w:sz="4" w:space="1" w:color="auto"/>
      </w:pBdr>
      <w:tabs>
        <w:tab w:val="clear" w:pos="4536"/>
        <w:tab w:val="clear" w:pos="9072"/>
        <w:tab w:val="left" w:pos="0"/>
      </w:tabs>
      <w:rPr>
        <w:i/>
        <w:iCs/>
      </w:rPr>
    </w:pPr>
  </w:p>
  <w:p w14:paraId="389781C2" w14:textId="77777777" w:rsidR="00713881" w:rsidRDefault="00713881" w:rsidP="00713881">
    <w:pPr>
      <w:pStyle w:val="Voettekst"/>
      <w:pBdr>
        <w:top w:val="single" w:sz="4" w:space="1" w:color="auto"/>
      </w:pBdr>
      <w:tabs>
        <w:tab w:val="clear" w:pos="4536"/>
        <w:tab w:val="clear" w:pos="9072"/>
        <w:tab w:val="left" w:pos="0"/>
      </w:tabs>
      <w:rPr>
        <w:i/>
        <w:iCs/>
      </w:rPr>
    </w:pPr>
  </w:p>
  <w:p w14:paraId="223F98AC" w14:textId="5756D0DD" w:rsidR="006147F5" w:rsidRPr="00323B0F" w:rsidRDefault="00F8259D" w:rsidP="00713881">
    <w:pPr>
      <w:pStyle w:val="Voettekst"/>
      <w:pBdr>
        <w:top w:val="single" w:sz="4" w:space="1" w:color="auto"/>
      </w:pBdr>
      <w:tabs>
        <w:tab w:val="clear" w:pos="4536"/>
        <w:tab w:val="clear" w:pos="9072"/>
        <w:tab w:val="left" w:pos="0"/>
      </w:tabs>
      <w:rPr>
        <w:i/>
        <w:iCs/>
        <w:sz w:val="18"/>
        <w:szCs w:val="18"/>
      </w:rPr>
    </w:pPr>
    <w:sdt>
      <w:sdtPr>
        <w:rPr>
          <w:i/>
          <w:iCs/>
        </w:rPr>
        <w:id w:val="627521176"/>
        <w:docPartObj>
          <w:docPartGallery w:val="Page Numbers (Bottom of Page)"/>
          <w:docPartUnique/>
        </w:docPartObj>
      </w:sdtPr>
      <w:sdtEndPr/>
      <w:sdtContent>
        <w:r w:rsidR="006147F5" w:rsidRPr="00323B0F">
          <w:rPr>
            <w:i/>
            <w:iCs/>
            <w:noProof/>
          </w:rPr>
          <mc:AlternateContent>
            <mc:Choice Requires="wpg">
              <w:drawing>
                <wp:anchor distT="0" distB="0" distL="114300" distR="114300" simplePos="0" relativeHeight="251658240" behindDoc="0" locked="0" layoutInCell="1" allowOverlap="1" wp14:anchorId="5179A57A" wp14:editId="72DA4EA2">
                  <wp:simplePos x="0" y="0"/>
                  <wp:positionH relativeFrom="margin">
                    <wp:align>right</wp:align>
                  </wp:positionH>
                  <wp:positionV relativeFrom="page">
                    <wp:align>bottom</wp:align>
                  </wp:positionV>
                  <wp:extent cx="436880" cy="716915"/>
                  <wp:effectExtent l="7620" t="9525" r="12700" b="6985"/>
                  <wp:wrapNone/>
                  <wp:docPr id="175582227"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516770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1409448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2CE20F2" w14:textId="77777777" w:rsidR="006147F5" w:rsidRDefault="006147F5">
                                <w:pPr>
                                  <w:pStyle w:val="Voettekst"/>
                                  <w:jc w:val="center"/>
                                  <w:rPr>
                                    <w:sz w:val="16"/>
                                    <w:szCs w:val="16"/>
                                  </w:rPr>
                                </w:pPr>
                                <w:r>
                                  <w:rPr>
                                    <w:sz w:val="22"/>
                                    <w:szCs w:val="22"/>
                                  </w:rPr>
                                  <w:fldChar w:fldCharType="begin"/>
                                </w:r>
                                <w:r>
                                  <w:instrText>PAGE    \* MERGEFORMAT</w:instrText>
                                </w:r>
                                <w:r>
                                  <w:rPr>
                                    <w:sz w:val="22"/>
                                    <w:szCs w:val="22"/>
                                  </w:rPr>
                                  <w:fldChar w:fldCharType="separate"/>
                                </w:r>
                                <w:r>
                                  <w:rPr>
                                    <w:sz w:val="16"/>
                                    <w:szCs w:val="16"/>
                                    <w:lang w:val="nl-NL"/>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9A57A" id="Groep 2" o:spid="_x0000_s1026" style="position:absolute;margin-left:-16.8pt;margin-top:0;width:34.4pt;height:56.45pt;z-index:25165824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C5KzgK/QIAAGU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" filled="f" strokecolor="#7f7f7f">
                    <v:textbox>
                      <w:txbxContent>
                        <w:p w14:paraId="42CE20F2" w14:textId="77777777" w:rsidR="006147F5" w:rsidRDefault="006147F5">
                          <w:pPr>
                            <w:pStyle w:val="Voettekst"/>
                            <w:jc w:val="center"/>
                            <w:rPr>
                              <w:sz w:val="16"/>
                              <w:szCs w:val="16"/>
                            </w:rPr>
                          </w:pPr>
                          <w:r>
                            <w:rPr>
                              <w:sz w:val="22"/>
                              <w:szCs w:val="22"/>
                            </w:rPr>
                            <w:fldChar w:fldCharType="begin"/>
                          </w:r>
                          <w:r>
                            <w:instrText>PAGE    \* MERGEFORMAT</w:instrText>
                          </w:r>
                          <w:r>
                            <w:rPr>
                              <w:sz w:val="22"/>
                              <w:szCs w:val="22"/>
                            </w:rPr>
                            <w:fldChar w:fldCharType="separate"/>
                          </w:r>
                          <w:r>
                            <w:rPr>
                              <w:sz w:val="16"/>
                              <w:szCs w:val="16"/>
                              <w:lang w:val="nl-NL"/>
                            </w:rPr>
                            <w:t>2</w:t>
                          </w:r>
                          <w:r>
                            <w:rPr>
                              <w:sz w:val="16"/>
                              <w:szCs w:val="16"/>
                            </w:rPr>
                            <w:fldChar w:fldCharType="end"/>
                          </w:r>
                        </w:p>
                      </w:txbxContent>
                    </v:textbox>
                  </v:rect>
                  <w10:wrap anchorx="margin" anchory="page"/>
                </v:group>
              </w:pict>
            </mc:Fallback>
          </mc:AlternateContent>
        </w:r>
      </w:sdtContent>
    </w:sdt>
    <w:r w:rsidR="00323B0F" w:rsidRPr="00323B0F">
      <w:rPr>
        <w:i/>
        <w:iCs/>
      </w:rPr>
      <w:tab/>
    </w:r>
    <w:r w:rsidR="00323B0F" w:rsidRPr="00323B0F">
      <w:rPr>
        <w:i/>
        <w:iCs/>
        <w:sz w:val="18"/>
        <w:szCs w:val="18"/>
      </w:rPr>
      <w:t>FAQ – infosessie Anders Organiseren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7BAF3" w14:textId="77777777" w:rsidR="0079146B" w:rsidRDefault="0079146B" w:rsidP="006147F5">
      <w:pPr>
        <w:spacing w:after="0" w:line="240" w:lineRule="auto"/>
      </w:pPr>
      <w:r>
        <w:separator/>
      </w:r>
    </w:p>
  </w:footnote>
  <w:footnote w:type="continuationSeparator" w:id="0">
    <w:p w14:paraId="6F89F17C" w14:textId="77777777" w:rsidR="0079146B" w:rsidRDefault="0079146B" w:rsidP="006147F5">
      <w:pPr>
        <w:spacing w:after="0" w:line="240" w:lineRule="auto"/>
      </w:pPr>
      <w:r>
        <w:continuationSeparator/>
      </w:r>
    </w:p>
  </w:footnote>
  <w:footnote w:type="continuationNotice" w:id="1">
    <w:p w14:paraId="5EDD4383" w14:textId="77777777" w:rsidR="0079146B" w:rsidRDefault="007914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13D8CA"/>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361299"/>
    <w:multiLevelType w:val="hybridMultilevel"/>
    <w:tmpl w:val="457859CA"/>
    <w:lvl w:ilvl="0" w:tplc="FFFFFFFF">
      <w:start w:val="1"/>
      <w:numFmt w:val="bullet"/>
      <w:lvlText w:val="-"/>
      <w:lvlJc w:val="left"/>
      <w:pPr>
        <w:ind w:left="720" w:hanging="360"/>
      </w:pPr>
      <w:rPr>
        <w:rFonts w:ascii="Aptos" w:hAnsi="Apto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852B81"/>
    <w:multiLevelType w:val="multilevel"/>
    <w:tmpl w:val="7C9E5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35344"/>
    <w:multiLevelType w:val="hybridMultilevel"/>
    <w:tmpl w:val="33603E80"/>
    <w:lvl w:ilvl="0" w:tplc="674659D0">
      <w:numFmt w:val="bullet"/>
      <w:lvlText w:val="-"/>
      <w:lvlJc w:val="left"/>
      <w:pPr>
        <w:ind w:left="1068" w:hanging="360"/>
      </w:pPr>
      <w:rPr>
        <w:rFonts w:ascii="Calibri" w:eastAsia="Aptos"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4" w15:restartNumberingAfterBreak="0">
    <w:nsid w:val="13A14A73"/>
    <w:multiLevelType w:val="hybridMultilevel"/>
    <w:tmpl w:val="B620A28A"/>
    <w:lvl w:ilvl="0" w:tplc="FFFFFFFF">
      <w:start w:val="1"/>
      <w:numFmt w:val="ideographDigital"/>
      <w:lvlText w:val=""/>
      <w:lvlJc w:val="left"/>
      <w:pPr>
        <w:ind w:left="0" w:firstLine="0"/>
      </w:pPr>
    </w:lvl>
    <w:lvl w:ilvl="1" w:tplc="08130001">
      <w:start w:val="1"/>
      <w:numFmt w:val="bullet"/>
      <w:lvlText w:val=""/>
      <w:lvlJc w:val="left"/>
      <w:pPr>
        <w:ind w:left="36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7F36FCF"/>
    <w:multiLevelType w:val="hybridMultilevel"/>
    <w:tmpl w:val="6C8CCB28"/>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6" w15:restartNumberingAfterBreak="0">
    <w:nsid w:val="1BD62700"/>
    <w:multiLevelType w:val="hybridMultilevel"/>
    <w:tmpl w:val="ECA8AC0C"/>
    <w:lvl w:ilvl="0" w:tplc="C1764686">
      <w:start w:val="6"/>
      <w:numFmt w:val="bullet"/>
      <w:lvlText w:val="-"/>
      <w:lvlJc w:val="left"/>
      <w:pPr>
        <w:ind w:left="720" w:hanging="360"/>
      </w:pPr>
      <w:rPr>
        <w:rFonts w:ascii="Aptos" w:eastAsia="Aptos" w:hAnsi="Apto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779799C"/>
    <w:multiLevelType w:val="hybridMultilevel"/>
    <w:tmpl w:val="30BAA202"/>
    <w:lvl w:ilvl="0" w:tplc="674659D0">
      <w:numFmt w:val="bullet"/>
      <w:lvlText w:val="-"/>
      <w:lvlJc w:val="left"/>
      <w:pPr>
        <w:ind w:left="1068" w:hanging="360"/>
      </w:pPr>
      <w:rPr>
        <w:rFonts w:ascii="Calibri" w:eastAsia="Aptos"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8" w15:restartNumberingAfterBreak="0">
    <w:nsid w:val="3F2247C4"/>
    <w:multiLevelType w:val="multilevel"/>
    <w:tmpl w:val="D14E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57FFA"/>
    <w:multiLevelType w:val="hybridMultilevel"/>
    <w:tmpl w:val="F442278A"/>
    <w:lvl w:ilvl="0" w:tplc="674659D0">
      <w:numFmt w:val="bullet"/>
      <w:lvlText w:val="-"/>
      <w:lvlJc w:val="left"/>
      <w:pPr>
        <w:ind w:left="720" w:hanging="360"/>
      </w:pPr>
      <w:rPr>
        <w:rFonts w:ascii="Calibri" w:eastAsia="Aptos"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63655865"/>
    <w:multiLevelType w:val="hybridMultilevel"/>
    <w:tmpl w:val="CF207E88"/>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A214872"/>
    <w:multiLevelType w:val="hybridMultilevel"/>
    <w:tmpl w:val="6D6433C0"/>
    <w:lvl w:ilvl="0" w:tplc="FFFFFFFF">
      <w:start w:val="1"/>
      <w:numFmt w:val="bullet"/>
      <w:lvlText w:val="-"/>
      <w:lvlJc w:val="left"/>
      <w:pPr>
        <w:ind w:left="720" w:hanging="360"/>
      </w:pPr>
      <w:rPr>
        <w:rFonts w:ascii="Aptos" w:hAnsi="Apto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DA1137"/>
    <w:multiLevelType w:val="hybridMultilevel"/>
    <w:tmpl w:val="B4F82318"/>
    <w:lvl w:ilvl="0" w:tplc="F282EE9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20204CB"/>
    <w:multiLevelType w:val="hybridMultilevel"/>
    <w:tmpl w:val="8CECBFA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CC1C8E5"/>
    <w:multiLevelType w:val="hybridMultilevel"/>
    <w:tmpl w:val="5DE0E2E0"/>
    <w:lvl w:ilvl="0" w:tplc="64D01C22">
      <w:start w:val="1"/>
      <w:numFmt w:val="bullet"/>
      <w:lvlText w:val="-"/>
      <w:lvlJc w:val="left"/>
      <w:pPr>
        <w:ind w:left="1068" w:hanging="360"/>
      </w:pPr>
      <w:rPr>
        <w:rFonts w:ascii="Aptos" w:hAnsi="Aptos" w:hint="default"/>
      </w:rPr>
    </w:lvl>
    <w:lvl w:ilvl="1" w:tplc="C548F310">
      <w:start w:val="1"/>
      <w:numFmt w:val="bullet"/>
      <w:lvlText w:val="o"/>
      <w:lvlJc w:val="left"/>
      <w:pPr>
        <w:ind w:left="1788" w:hanging="360"/>
      </w:pPr>
      <w:rPr>
        <w:rFonts w:ascii="Courier New" w:hAnsi="Courier New" w:hint="default"/>
      </w:rPr>
    </w:lvl>
    <w:lvl w:ilvl="2" w:tplc="2C24BC04">
      <w:start w:val="1"/>
      <w:numFmt w:val="bullet"/>
      <w:lvlText w:val=""/>
      <w:lvlJc w:val="left"/>
      <w:pPr>
        <w:ind w:left="2508" w:hanging="360"/>
      </w:pPr>
      <w:rPr>
        <w:rFonts w:ascii="Wingdings" w:hAnsi="Wingdings" w:hint="default"/>
      </w:rPr>
    </w:lvl>
    <w:lvl w:ilvl="3" w:tplc="60FC2510">
      <w:start w:val="1"/>
      <w:numFmt w:val="bullet"/>
      <w:lvlText w:val=""/>
      <w:lvlJc w:val="left"/>
      <w:pPr>
        <w:ind w:left="3228" w:hanging="360"/>
      </w:pPr>
      <w:rPr>
        <w:rFonts w:ascii="Symbol" w:hAnsi="Symbol" w:hint="default"/>
      </w:rPr>
    </w:lvl>
    <w:lvl w:ilvl="4" w:tplc="3C8E5D82">
      <w:start w:val="1"/>
      <w:numFmt w:val="bullet"/>
      <w:lvlText w:val="o"/>
      <w:lvlJc w:val="left"/>
      <w:pPr>
        <w:ind w:left="3948" w:hanging="360"/>
      </w:pPr>
      <w:rPr>
        <w:rFonts w:ascii="Courier New" w:hAnsi="Courier New" w:hint="default"/>
      </w:rPr>
    </w:lvl>
    <w:lvl w:ilvl="5" w:tplc="9ABCCA0C">
      <w:start w:val="1"/>
      <w:numFmt w:val="bullet"/>
      <w:lvlText w:val=""/>
      <w:lvlJc w:val="left"/>
      <w:pPr>
        <w:ind w:left="4668" w:hanging="360"/>
      </w:pPr>
      <w:rPr>
        <w:rFonts w:ascii="Wingdings" w:hAnsi="Wingdings" w:hint="default"/>
      </w:rPr>
    </w:lvl>
    <w:lvl w:ilvl="6" w:tplc="E402B532">
      <w:start w:val="1"/>
      <w:numFmt w:val="bullet"/>
      <w:lvlText w:val=""/>
      <w:lvlJc w:val="left"/>
      <w:pPr>
        <w:ind w:left="5388" w:hanging="360"/>
      </w:pPr>
      <w:rPr>
        <w:rFonts w:ascii="Symbol" w:hAnsi="Symbol" w:hint="default"/>
      </w:rPr>
    </w:lvl>
    <w:lvl w:ilvl="7" w:tplc="AFFCD8F4">
      <w:start w:val="1"/>
      <w:numFmt w:val="bullet"/>
      <w:lvlText w:val="o"/>
      <w:lvlJc w:val="left"/>
      <w:pPr>
        <w:ind w:left="6108" w:hanging="360"/>
      </w:pPr>
      <w:rPr>
        <w:rFonts w:ascii="Courier New" w:hAnsi="Courier New" w:hint="default"/>
      </w:rPr>
    </w:lvl>
    <w:lvl w:ilvl="8" w:tplc="CA046F94">
      <w:start w:val="1"/>
      <w:numFmt w:val="bullet"/>
      <w:lvlText w:val=""/>
      <w:lvlJc w:val="left"/>
      <w:pPr>
        <w:ind w:left="6828" w:hanging="360"/>
      </w:pPr>
      <w:rPr>
        <w:rFonts w:ascii="Wingdings" w:hAnsi="Wingdings" w:hint="default"/>
      </w:rPr>
    </w:lvl>
  </w:abstractNum>
  <w:num w:numId="1" w16cid:durableId="1475950626">
    <w:abstractNumId w:val="14"/>
  </w:num>
  <w:num w:numId="2" w16cid:durableId="1312713614">
    <w:abstractNumId w:val="12"/>
  </w:num>
  <w:num w:numId="3" w16cid:durableId="1429816384">
    <w:abstractNumId w:val="1"/>
  </w:num>
  <w:num w:numId="4" w16cid:durableId="998729472">
    <w:abstractNumId w:val="13"/>
  </w:num>
  <w:num w:numId="5" w16cid:durableId="118691579">
    <w:abstractNumId w:val="2"/>
  </w:num>
  <w:num w:numId="6" w16cid:durableId="1479953540">
    <w:abstractNumId w:val="0"/>
    <w:lvlOverride w:ilvl="0">
      <w:startOverride w:val="1"/>
    </w:lvlOverride>
    <w:lvlOverride w:ilvl="1"/>
    <w:lvlOverride w:ilvl="2"/>
    <w:lvlOverride w:ilvl="3"/>
    <w:lvlOverride w:ilvl="4"/>
    <w:lvlOverride w:ilvl="5"/>
    <w:lvlOverride w:ilvl="6"/>
    <w:lvlOverride w:ilvl="7"/>
    <w:lvlOverride w:ilvl="8"/>
  </w:num>
  <w:num w:numId="7" w16cid:durableId="2118065609">
    <w:abstractNumId w:val="4"/>
    <w:lvlOverride w:ilvl="0">
      <w:startOverride w:val="1"/>
    </w:lvlOverride>
    <w:lvlOverride w:ilvl="1"/>
    <w:lvlOverride w:ilvl="2"/>
    <w:lvlOverride w:ilvl="3"/>
    <w:lvlOverride w:ilvl="4"/>
    <w:lvlOverride w:ilvl="5"/>
    <w:lvlOverride w:ilvl="6"/>
    <w:lvlOverride w:ilvl="7"/>
    <w:lvlOverride w:ilvl="8"/>
  </w:num>
  <w:num w:numId="8" w16cid:durableId="773086900">
    <w:abstractNumId w:val="10"/>
  </w:num>
  <w:num w:numId="9" w16cid:durableId="570425807">
    <w:abstractNumId w:val="9"/>
  </w:num>
  <w:num w:numId="10" w16cid:durableId="712074514">
    <w:abstractNumId w:val="3"/>
  </w:num>
  <w:num w:numId="11" w16cid:durableId="1692876937">
    <w:abstractNumId w:val="7"/>
  </w:num>
  <w:num w:numId="12" w16cid:durableId="553468899">
    <w:abstractNumId w:val="5"/>
  </w:num>
  <w:num w:numId="13" w16cid:durableId="1031035632">
    <w:abstractNumId w:val="6"/>
  </w:num>
  <w:num w:numId="14" w16cid:durableId="2069916822">
    <w:abstractNumId w:val="8"/>
  </w:num>
  <w:num w:numId="15" w16cid:durableId="319115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68"/>
    <w:rsid w:val="000010F8"/>
    <w:rsid w:val="00001A11"/>
    <w:rsid w:val="00003F91"/>
    <w:rsid w:val="000050FF"/>
    <w:rsid w:val="00005EC6"/>
    <w:rsid w:val="00015168"/>
    <w:rsid w:val="00015E17"/>
    <w:rsid w:val="0002435C"/>
    <w:rsid w:val="0003073B"/>
    <w:rsid w:val="00043389"/>
    <w:rsid w:val="00051FE6"/>
    <w:rsid w:val="00052F5F"/>
    <w:rsid w:val="00063968"/>
    <w:rsid w:val="000747F1"/>
    <w:rsid w:val="0009253C"/>
    <w:rsid w:val="00093D83"/>
    <w:rsid w:val="00096D45"/>
    <w:rsid w:val="00096DA4"/>
    <w:rsid w:val="000C47AE"/>
    <w:rsid w:val="000C4F23"/>
    <w:rsid w:val="000C67A0"/>
    <w:rsid w:val="000E449C"/>
    <w:rsid w:val="000E5642"/>
    <w:rsid w:val="000F64BB"/>
    <w:rsid w:val="00103904"/>
    <w:rsid w:val="00112641"/>
    <w:rsid w:val="00113ADB"/>
    <w:rsid w:val="00123854"/>
    <w:rsid w:val="00126150"/>
    <w:rsid w:val="00130139"/>
    <w:rsid w:val="0014248A"/>
    <w:rsid w:val="00142878"/>
    <w:rsid w:val="00142A7C"/>
    <w:rsid w:val="00143039"/>
    <w:rsid w:val="00151BB1"/>
    <w:rsid w:val="00157AA5"/>
    <w:rsid w:val="001628A6"/>
    <w:rsid w:val="00176911"/>
    <w:rsid w:val="00186577"/>
    <w:rsid w:val="00190504"/>
    <w:rsid w:val="00192391"/>
    <w:rsid w:val="001B0968"/>
    <w:rsid w:val="001B242A"/>
    <w:rsid w:val="001B4288"/>
    <w:rsid w:val="001B47CA"/>
    <w:rsid w:val="001B6597"/>
    <w:rsid w:val="001C2965"/>
    <w:rsid w:val="001D15DE"/>
    <w:rsid w:val="001D1DD9"/>
    <w:rsid w:val="001D5D81"/>
    <w:rsid w:val="001E696D"/>
    <w:rsid w:val="001E70AA"/>
    <w:rsid w:val="001F2D09"/>
    <w:rsid w:val="00212948"/>
    <w:rsid w:val="002150B4"/>
    <w:rsid w:val="00220836"/>
    <w:rsid w:val="00223B52"/>
    <w:rsid w:val="00224E0E"/>
    <w:rsid w:val="00225A83"/>
    <w:rsid w:val="002340F8"/>
    <w:rsid w:val="00243A76"/>
    <w:rsid w:val="00250272"/>
    <w:rsid w:val="00250569"/>
    <w:rsid w:val="00256E05"/>
    <w:rsid w:val="00260540"/>
    <w:rsid w:val="00261A27"/>
    <w:rsid w:val="00262AD3"/>
    <w:rsid w:val="00263474"/>
    <w:rsid w:val="00270CC3"/>
    <w:rsid w:val="0027297D"/>
    <w:rsid w:val="002736BA"/>
    <w:rsid w:val="002933C6"/>
    <w:rsid w:val="00297E91"/>
    <w:rsid w:val="002A01FC"/>
    <w:rsid w:val="002A5C4D"/>
    <w:rsid w:val="002C2137"/>
    <w:rsid w:val="002C3E8C"/>
    <w:rsid w:val="002C51E8"/>
    <w:rsid w:val="002D01F7"/>
    <w:rsid w:val="002D562C"/>
    <w:rsid w:val="002D6750"/>
    <w:rsid w:val="002F06DD"/>
    <w:rsid w:val="002F10DD"/>
    <w:rsid w:val="002F5E7F"/>
    <w:rsid w:val="00307918"/>
    <w:rsid w:val="00310E23"/>
    <w:rsid w:val="00313E5C"/>
    <w:rsid w:val="00315CC6"/>
    <w:rsid w:val="00315E88"/>
    <w:rsid w:val="00323B0F"/>
    <w:rsid w:val="00323CC5"/>
    <w:rsid w:val="00324BA9"/>
    <w:rsid w:val="0032722C"/>
    <w:rsid w:val="00327E63"/>
    <w:rsid w:val="00331510"/>
    <w:rsid w:val="00346AAB"/>
    <w:rsid w:val="00350BDC"/>
    <w:rsid w:val="00357908"/>
    <w:rsid w:val="00357B7A"/>
    <w:rsid w:val="00375D5E"/>
    <w:rsid w:val="00376075"/>
    <w:rsid w:val="0037648E"/>
    <w:rsid w:val="0037687F"/>
    <w:rsid w:val="0038092A"/>
    <w:rsid w:val="00383FF4"/>
    <w:rsid w:val="0039106B"/>
    <w:rsid w:val="003A6280"/>
    <w:rsid w:val="003B278F"/>
    <w:rsid w:val="003C3BB8"/>
    <w:rsid w:val="003C619F"/>
    <w:rsid w:val="003C73E5"/>
    <w:rsid w:val="003E0694"/>
    <w:rsid w:val="003E3F82"/>
    <w:rsid w:val="003F0A00"/>
    <w:rsid w:val="00402498"/>
    <w:rsid w:val="00410D70"/>
    <w:rsid w:val="00412541"/>
    <w:rsid w:val="004231A3"/>
    <w:rsid w:val="0043067C"/>
    <w:rsid w:val="00432448"/>
    <w:rsid w:val="00433F06"/>
    <w:rsid w:val="00445656"/>
    <w:rsid w:val="00452600"/>
    <w:rsid w:val="00461916"/>
    <w:rsid w:val="004840D3"/>
    <w:rsid w:val="004941FC"/>
    <w:rsid w:val="004B0A16"/>
    <w:rsid w:val="004B2B13"/>
    <w:rsid w:val="004C1FBD"/>
    <w:rsid w:val="004C3DD4"/>
    <w:rsid w:val="004E39AF"/>
    <w:rsid w:val="004F0345"/>
    <w:rsid w:val="004F223A"/>
    <w:rsid w:val="004F2564"/>
    <w:rsid w:val="004F280A"/>
    <w:rsid w:val="004F2C1D"/>
    <w:rsid w:val="004F427C"/>
    <w:rsid w:val="00501CED"/>
    <w:rsid w:val="00504481"/>
    <w:rsid w:val="005229EA"/>
    <w:rsid w:val="00527485"/>
    <w:rsid w:val="005419AD"/>
    <w:rsid w:val="00544A53"/>
    <w:rsid w:val="0055468C"/>
    <w:rsid w:val="00560F03"/>
    <w:rsid w:val="00570DA2"/>
    <w:rsid w:val="005722A7"/>
    <w:rsid w:val="00584406"/>
    <w:rsid w:val="00597423"/>
    <w:rsid w:val="005A68DE"/>
    <w:rsid w:val="005B2339"/>
    <w:rsid w:val="005D0002"/>
    <w:rsid w:val="005D23AC"/>
    <w:rsid w:val="005D4AF2"/>
    <w:rsid w:val="005D6FCE"/>
    <w:rsid w:val="005E2572"/>
    <w:rsid w:val="005E2ED7"/>
    <w:rsid w:val="005E4E89"/>
    <w:rsid w:val="005E77C2"/>
    <w:rsid w:val="005F1131"/>
    <w:rsid w:val="005F40D8"/>
    <w:rsid w:val="005F61A6"/>
    <w:rsid w:val="005F65DB"/>
    <w:rsid w:val="00601475"/>
    <w:rsid w:val="0060561D"/>
    <w:rsid w:val="006147F5"/>
    <w:rsid w:val="006226B6"/>
    <w:rsid w:val="00627B20"/>
    <w:rsid w:val="006373B2"/>
    <w:rsid w:val="00641BDF"/>
    <w:rsid w:val="006431BE"/>
    <w:rsid w:val="0064364E"/>
    <w:rsid w:val="006474B3"/>
    <w:rsid w:val="006540F7"/>
    <w:rsid w:val="00664EBF"/>
    <w:rsid w:val="00670475"/>
    <w:rsid w:val="006739E3"/>
    <w:rsid w:val="00673AC6"/>
    <w:rsid w:val="00676CBE"/>
    <w:rsid w:val="00687338"/>
    <w:rsid w:val="00692098"/>
    <w:rsid w:val="006924B2"/>
    <w:rsid w:val="00694E45"/>
    <w:rsid w:val="006B649A"/>
    <w:rsid w:val="006B7AA7"/>
    <w:rsid w:val="006C181A"/>
    <w:rsid w:val="006C7E20"/>
    <w:rsid w:val="006E58E2"/>
    <w:rsid w:val="006F41CC"/>
    <w:rsid w:val="00705229"/>
    <w:rsid w:val="00707987"/>
    <w:rsid w:val="00713881"/>
    <w:rsid w:val="00714C7B"/>
    <w:rsid w:val="0071634A"/>
    <w:rsid w:val="00716997"/>
    <w:rsid w:val="00716A27"/>
    <w:rsid w:val="0071763C"/>
    <w:rsid w:val="007217FB"/>
    <w:rsid w:val="007271B6"/>
    <w:rsid w:val="00727AFC"/>
    <w:rsid w:val="00742796"/>
    <w:rsid w:val="007436E0"/>
    <w:rsid w:val="00756AE2"/>
    <w:rsid w:val="0076046E"/>
    <w:rsid w:val="0076067F"/>
    <w:rsid w:val="00762172"/>
    <w:rsid w:val="00770729"/>
    <w:rsid w:val="007808AB"/>
    <w:rsid w:val="00781014"/>
    <w:rsid w:val="007823F9"/>
    <w:rsid w:val="007878DC"/>
    <w:rsid w:val="0079146B"/>
    <w:rsid w:val="00793ED2"/>
    <w:rsid w:val="00794E9C"/>
    <w:rsid w:val="007A083D"/>
    <w:rsid w:val="007A45FB"/>
    <w:rsid w:val="007A4BFB"/>
    <w:rsid w:val="007B0294"/>
    <w:rsid w:val="007B6948"/>
    <w:rsid w:val="007C4D1E"/>
    <w:rsid w:val="007D25F1"/>
    <w:rsid w:val="007D68DA"/>
    <w:rsid w:val="007E29E9"/>
    <w:rsid w:val="007E347F"/>
    <w:rsid w:val="007E3777"/>
    <w:rsid w:val="007E4DF4"/>
    <w:rsid w:val="007E5F5B"/>
    <w:rsid w:val="007F51A4"/>
    <w:rsid w:val="007F619F"/>
    <w:rsid w:val="007F7634"/>
    <w:rsid w:val="00800614"/>
    <w:rsid w:val="00802B59"/>
    <w:rsid w:val="0080472E"/>
    <w:rsid w:val="00816E39"/>
    <w:rsid w:val="00831F22"/>
    <w:rsid w:val="008439CD"/>
    <w:rsid w:val="008460C8"/>
    <w:rsid w:val="00853C7A"/>
    <w:rsid w:val="00860C35"/>
    <w:rsid w:val="008621D2"/>
    <w:rsid w:val="00875840"/>
    <w:rsid w:val="00897914"/>
    <w:rsid w:val="008A30BB"/>
    <w:rsid w:val="008D44AF"/>
    <w:rsid w:val="008D65C1"/>
    <w:rsid w:val="008F2002"/>
    <w:rsid w:val="008F40D1"/>
    <w:rsid w:val="008F7023"/>
    <w:rsid w:val="008F7C1C"/>
    <w:rsid w:val="009030FE"/>
    <w:rsid w:val="0091599F"/>
    <w:rsid w:val="00917B35"/>
    <w:rsid w:val="009217BC"/>
    <w:rsid w:val="00924F42"/>
    <w:rsid w:val="00931C99"/>
    <w:rsid w:val="009360D1"/>
    <w:rsid w:val="009431F0"/>
    <w:rsid w:val="0094519F"/>
    <w:rsid w:val="009509A1"/>
    <w:rsid w:val="00950D8E"/>
    <w:rsid w:val="0095174D"/>
    <w:rsid w:val="0095411E"/>
    <w:rsid w:val="00957549"/>
    <w:rsid w:val="0097409A"/>
    <w:rsid w:val="00986AF2"/>
    <w:rsid w:val="009924D9"/>
    <w:rsid w:val="009941D4"/>
    <w:rsid w:val="009946AC"/>
    <w:rsid w:val="00997DF0"/>
    <w:rsid w:val="009A0212"/>
    <w:rsid w:val="009A0581"/>
    <w:rsid w:val="009A28B2"/>
    <w:rsid w:val="009A2ECB"/>
    <w:rsid w:val="009A3ECF"/>
    <w:rsid w:val="009A527D"/>
    <w:rsid w:val="009D3FFD"/>
    <w:rsid w:val="009D7864"/>
    <w:rsid w:val="009D7E3C"/>
    <w:rsid w:val="009E1236"/>
    <w:rsid w:val="009F4706"/>
    <w:rsid w:val="00A07EDF"/>
    <w:rsid w:val="00A32FCB"/>
    <w:rsid w:val="00A34FD5"/>
    <w:rsid w:val="00A36ADF"/>
    <w:rsid w:val="00A37220"/>
    <w:rsid w:val="00A37AD0"/>
    <w:rsid w:val="00A41C4E"/>
    <w:rsid w:val="00A43D33"/>
    <w:rsid w:val="00A47D09"/>
    <w:rsid w:val="00A47DCA"/>
    <w:rsid w:val="00A51513"/>
    <w:rsid w:val="00A562FA"/>
    <w:rsid w:val="00A57FD3"/>
    <w:rsid w:val="00A60B07"/>
    <w:rsid w:val="00A74C12"/>
    <w:rsid w:val="00A84658"/>
    <w:rsid w:val="00A847C8"/>
    <w:rsid w:val="00A859D5"/>
    <w:rsid w:val="00A86F96"/>
    <w:rsid w:val="00AA0DC2"/>
    <w:rsid w:val="00AA42C8"/>
    <w:rsid w:val="00AA74D2"/>
    <w:rsid w:val="00AB37EF"/>
    <w:rsid w:val="00AB4822"/>
    <w:rsid w:val="00AC06F5"/>
    <w:rsid w:val="00AD290C"/>
    <w:rsid w:val="00AD44E2"/>
    <w:rsid w:val="00AD7448"/>
    <w:rsid w:val="00AE0C47"/>
    <w:rsid w:val="00AF3E92"/>
    <w:rsid w:val="00B03F79"/>
    <w:rsid w:val="00B054A8"/>
    <w:rsid w:val="00B1048F"/>
    <w:rsid w:val="00B1753D"/>
    <w:rsid w:val="00B17E22"/>
    <w:rsid w:val="00B23F73"/>
    <w:rsid w:val="00B414E4"/>
    <w:rsid w:val="00B4514A"/>
    <w:rsid w:val="00B54C4C"/>
    <w:rsid w:val="00B6079C"/>
    <w:rsid w:val="00B60AF5"/>
    <w:rsid w:val="00B6639B"/>
    <w:rsid w:val="00B86DF0"/>
    <w:rsid w:val="00B92DE8"/>
    <w:rsid w:val="00BA4A38"/>
    <w:rsid w:val="00BB45C3"/>
    <w:rsid w:val="00BC0E0E"/>
    <w:rsid w:val="00BC5209"/>
    <w:rsid w:val="00BC6747"/>
    <w:rsid w:val="00BE46BB"/>
    <w:rsid w:val="00BF0B47"/>
    <w:rsid w:val="00BF3977"/>
    <w:rsid w:val="00BF5035"/>
    <w:rsid w:val="00BF5D19"/>
    <w:rsid w:val="00C03FDA"/>
    <w:rsid w:val="00C12E8D"/>
    <w:rsid w:val="00C16CFB"/>
    <w:rsid w:val="00C2507F"/>
    <w:rsid w:val="00C3293A"/>
    <w:rsid w:val="00C33041"/>
    <w:rsid w:val="00C36C91"/>
    <w:rsid w:val="00C43BDB"/>
    <w:rsid w:val="00C55336"/>
    <w:rsid w:val="00C64F8A"/>
    <w:rsid w:val="00C928B2"/>
    <w:rsid w:val="00C96BB6"/>
    <w:rsid w:val="00CA004D"/>
    <w:rsid w:val="00CA1B99"/>
    <w:rsid w:val="00CA2A4F"/>
    <w:rsid w:val="00CA3E50"/>
    <w:rsid w:val="00CA5EBE"/>
    <w:rsid w:val="00CB49D9"/>
    <w:rsid w:val="00CB5459"/>
    <w:rsid w:val="00CB6DF5"/>
    <w:rsid w:val="00CC3587"/>
    <w:rsid w:val="00CD38EC"/>
    <w:rsid w:val="00CE0B75"/>
    <w:rsid w:val="00CE7327"/>
    <w:rsid w:val="00CF25D3"/>
    <w:rsid w:val="00D04727"/>
    <w:rsid w:val="00D1669F"/>
    <w:rsid w:val="00D20F65"/>
    <w:rsid w:val="00D27991"/>
    <w:rsid w:val="00D31C6C"/>
    <w:rsid w:val="00D33572"/>
    <w:rsid w:val="00D347A1"/>
    <w:rsid w:val="00D355E8"/>
    <w:rsid w:val="00D35EB6"/>
    <w:rsid w:val="00D460B4"/>
    <w:rsid w:val="00D63A2F"/>
    <w:rsid w:val="00D714EF"/>
    <w:rsid w:val="00D80640"/>
    <w:rsid w:val="00D9677F"/>
    <w:rsid w:val="00D96AA0"/>
    <w:rsid w:val="00DB6ACD"/>
    <w:rsid w:val="00DC1D07"/>
    <w:rsid w:val="00E20C78"/>
    <w:rsid w:val="00E213E0"/>
    <w:rsid w:val="00E27313"/>
    <w:rsid w:val="00E302F3"/>
    <w:rsid w:val="00E32748"/>
    <w:rsid w:val="00E33F62"/>
    <w:rsid w:val="00E3685A"/>
    <w:rsid w:val="00E53C0E"/>
    <w:rsid w:val="00E5572A"/>
    <w:rsid w:val="00E56AB8"/>
    <w:rsid w:val="00E573A9"/>
    <w:rsid w:val="00E64372"/>
    <w:rsid w:val="00E66BF5"/>
    <w:rsid w:val="00E67AB5"/>
    <w:rsid w:val="00E805BA"/>
    <w:rsid w:val="00E93FAB"/>
    <w:rsid w:val="00EB0AD0"/>
    <w:rsid w:val="00EB0E5D"/>
    <w:rsid w:val="00EB5186"/>
    <w:rsid w:val="00EC6BB7"/>
    <w:rsid w:val="00ED1533"/>
    <w:rsid w:val="00EF08E0"/>
    <w:rsid w:val="00EF4FA2"/>
    <w:rsid w:val="00F04BBA"/>
    <w:rsid w:val="00F06209"/>
    <w:rsid w:val="00F23800"/>
    <w:rsid w:val="00F23DB6"/>
    <w:rsid w:val="00F2567A"/>
    <w:rsid w:val="00F45AF1"/>
    <w:rsid w:val="00F51195"/>
    <w:rsid w:val="00F5329E"/>
    <w:rsid w:val="00F57740"/>
    <w:rsid w:val="00F60DD7"/>
    <w:rsid w:val="00F61033"/>
    <w:rsid w:val="00F62276"/>
    <w:rsid w:val="00F7270C"/>
    <w:rsid w:val="00F73BE0"/>
    <w:rsid w:val="00F8259D"/>
    <w:rsid w:val="00F8329B"/>
    <w:rsid w:val="00F839E9"/>
    <w:rsid w:val="00F86D7C"/>
    <w:rsid w:val="00FA1497"/>
    <w:rsid w:val="00FA49C1"/>
    <w:rsid w:val="00FB1F45"/>
    <w:rsid w:val="00FB2FD5"/>
    <w:rsid w:val="00FB5AB6"/>
    <w:rsid w:val="00FC48D9"/>
    <w:rsid w:val="00FC5D1E"/>
    <w:rsid w:val="00FD1E70"/>
    <w:rsid w:val="00FD376F"/>
    <w:rsid w:val="00FE405B"/>
    <w:rsid w:val="00FE5518"/>
    <w:rsid w:val="00FF0BD3"/>
    <w:rsid w:val="00FF1049"/>
    <w:rsid w:val="07D1954F"/>
    <w:rsid w:val="0A7486E1"/>
    <w:rsid w:val="0F7F7DD6"/>
    <w:rsid w:val="13B3818D"/>
    <w:rsid w:val="14F31757"/>
    <w:rsid w:val="16E07E02"/>
    <w:rsid w:val="1882EBEB"/>
    <w:rsid w:val="196A57EA"/>
    <w:rsid w:val="1CA43C91"/>
    <w:rsid w:val="1D9F5B84"/>
    <w:rsid w:val="1F778C58"/>
    <w:rsid w:val="221AA62B"/>
    <w:rsid w:val="2299B54D"/>
    <w:rsid w:val="22C43406"/>
    <w:rsid w:val="24A3351F"/>
    <w:rsid w:val="24A64E46"/>
    <w:rsid w:val="27930D94"/>
    <w:rsid w:val="282C5E73"/>
    <w:rsid w:val="29CC5809"/>
    <w:rsid w:val="2AC95FA3"/>
    <w:rsid w:val="2C15C979"/>
    <w:rsid w:val="2CF87EF9"/>
    <w:rsid w:val="2D5CB570"/>
    <w:rsid w:val="2F662D84"/>
    <w:rsid w:val="309EBFC9"/>
    <w:rsid w:val="32A77D7D"/>
    <w:rsid w:val="36719913"/>
    <w:rsid w:val="367F43EC"/>
    <w:rsid w:val="3C560467"/>
    <w:rsid w:val="3C980B42"/>
    <w:rsid w:val="3CAA67C1"/>
    <w:rsid w:val="3DBAF1DC"/>
    <w:rsid w:val="3FD5F325"/>
    <w:rsid w:val="40BA334D"/>
    <w:rsid w:val="42BD57A7"/>
    <w:rsid w:val="44F163DF"/>
    <w:rsid w:val="463A69CC"/>
    <w:rsid w:val="46BA3777"/>
    <w:rsid w:val="4789AD20"/>
    <w:rsid w:val="47B8EFA0"/>
    <w:rsid w:val="48F4547B"/>
    <w:rsid w:val="49AC60B1"/>
    <w:rsid w:val="4A3BF491"/>
    <w:rsid w:val="4A49A50F"/>
    <w:rsid w:val="4DCE52A4"/>
    <w:rsid w:val="4E6B1FB1"/>
    <w:rsid w:val="5067FA25"/>
    <w:rsid w:val="50CDD2DA"/>
    <w:rsid w:val="51D4B23C"/>
    <w:rsid w:val="52215A77"/>
    <w:rsid w:val="523B113E"/>
    <w:rsid w:val="537119AC"/>
    <w:rsid w:val="555FF9FE"/>
    <w:rsid w:val="58A52E7B"/>
    <w:rsid w:val="5AEB2864"/>
    <w:rsid w:val="5BC216AA"/>
    <w:rsid w:val="5D9296ED"/>
    <w:rsid w:val="5F179DF9"/>
    <w:rsid w:val="5F5F2E57"/>
    <w:rsid w:val="60AB5973"/>
    <w:rsid w:val="62B6E0D9"/>
    <w:rsid w:val="683CA117"/>
    <w:rsid w:val="68ECB59C"/>
    <w:rsid w:val="6B372CF3"/>
    <w:rsid w:val="6BA98C69"/>
    <w:rsid w:val="6D744C8C"/>
    <w:rsid w:val="6EC1D10C"/>
    <w:rsid w:val="7078739A"/>
    <w:rsid w:val="7741B673"/>
    <w:rsid w:val="77779FD0"/>
    <w:rsid w:val="77B78015"/>
    <w:rsid w:val="77FE856A"/>
    <w:rsid w:val="79538C69"/>
    <w:rsid w:val="7B60CAAC"/>
    <w:rsid w:val="7CBCFCE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8BB0"/>
  <w15:chartTrackingRefBased/>
  <w15:docId w15:val="{968C1D0E-8FE1-48FF-85A1-A1103572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5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151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1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1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1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1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1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1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1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51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151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1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1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1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1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1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168"/>
    <w:rPr>
      <w:rFonts w:eastAsiaTheme="majorEastAsia" w:cstheme="majorBidi"/>
      <w:color w:val="272727" w:themeColor="text1" w:themeTint="D8"/>
    </w:rPr>
  </w:style>
  <w:style w:type="paragraph" w:styleId="Titel">
    <w:name w:val="Title"/>
    <w:basedOn w:val="Standaard"/>
    <w:next w:val="Standaard"/>
    <w:link w:val="TitelChar"/>
    <w:uiPriority w:val="10"/>
    <w:qFormat/>
    <w:rsid w:val="00015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1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1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1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1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168"/>
    <w:rPr>
      <w:i/>
      <w:iCs/>
      <w:color w:val="404040" w:themeColor="text1" w:themeTint="BF"/>
    </w:rPr>
  </w:style>
  <w:style w:type="paragraph" w:styleId="Lijstalinea">
    <w:name w:val="List Paragraph"/>
    <w:basedOn w:val="Standaard"/>
    <w:uiPriority w:val="34"/>
    <w:qFormat/>
    <w:rsid w:val="00015168"/>
    <w:pPr>
      <w:ind w:left="720"/>
      <w:contextualSpacing/>
    </w:pPr>
  </w:style>
  <w:style w:type="character" w:styleId="Intensievebenadrukking">
    <w:name w:val="Intense Emphasis"/>
    <w:basedOn w:val="Standaardalinea-lettertype"/>
    <w:uiPriority w:val="21"/>
    <w:qFormat/>
    <w:rsid w:val="00015168"/>
    <w:rPr>
      <w:i/>
      <w:iCs/>
      <w:color w:val="0F4761" w:themeColor="accent1" w:themeShade="BF"/>
    </w:rPr>
  </w:style>
  <w:style w:type="paragraph" w:styleId="Duidelijkcitaat">
    <w:name w:val="Intense Quote"/>
    <w:basedOn w:val="Standaard"/>
    <w:next w:val="Standaard"/>
    <w:link w:val="DuidelijkcitaatChar"/>
    <w:uiPriority w:val="30"/>
    <w:qFormat/>
    <w:rsid w:val="0001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168"/>
    <w:rPr>
      <w:i/>
      <w:iCs/>
      <w:color w:val="0F4761" w:themeColor="accent1" w:themeShade="BF"/>
    </w:rPr>
  </w:style>
  <w:style w:type="character" w:styleId="Intensieveverwijzing">
    <w:name w:val="Intense Reference"/>
    <w:basedOn w:val="Standaardalinea-lettertype"/>
    <w:uiPriority w:val="32"/>
    <w:qFormat/>
    <w:rsid w:val="00015168"/>
    <w:rPr>
      <w:b/>
      <w:bCs/>
      <w:smallCaps/>
      <w:color w:val="0F4761" w:themeColor="accent1" w:themeShade="BF"/>
      <w:spacing w:val="5"/>
    </w:rPr>
  </w:style>
  <w:style w:type="character" w:customStyle="1" w:styleId="ui-provider">
    <w:name w:val="ui-provider"/>
    <w:basedOn w:val="Standaardalinea-lettertype"/>
    <w:rsid w:val="009431F0"/>
  </w:style>
  <w:style w:type="paragraph" w:styleId="Normaalweb">
    <w:name w:val="Normal (Web)"/>
    <w:basedOn w:val="Standaard"/>
    <w:uiPriority w:val="99"/>
    <w:semiHidden/>
    <w:unhideWhenUsed/>
    <w:rsid w:val="00BB45C3"/>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Hyperlink">
    <w:name w:val="Hyperlink"/>
    <w:basedOn w:val="Standaardalinea-lettertype"/>
    <w:uiPriority w:val="99"/>
    <w:unhideWhenUsed/>
    <w:rsid w:val="00BB45C3"/>
    <w:rPr>
      <w:color w:val="0000FF"/>
      <w:u w:val="single"/>
    </w:rPr>
  </w:style>
  <w:style w:type="character" w:styleId="Onopgelostemelding">
    <w:name w:val="Unresolved Mention"/>
    <w:basedOn w:val="Standaardalinea-lettertype"/>
    <w:uiPriority w:val="99"/>
    <w:semiHidden/>
    <w:unhideWhenUsed/>
    <w:rsid w:val="004F280A"/>
    <w:rPr>
      <w:color w:val="605E5C"/>
      <w:shd w:val="clear" w:color="auto" w:fill="E1DFDD"/>
    </w:rPr>
  </w:style>
  <w:style w:type="paragraph" w:customStyle="1" w:styleId="xmsolistparagraph">
    <w:name w:val="x_msolistparagraph"/>
    <w:basedOn w:val="Standaard"/>
    <w:rsid w:val="007A45FB"/>
    <w:pPr>
      <w:spacing w:after="0" w:line="240" w:lineRule="auto"/>
      <w:ind w:left="720"/>
    </w:pPr>
    <w:rPr>
      <w:rFonts w:ascii="Arial" w:hAnsi="Arial" w:cs="Arial"/>
      <w:color w:val="004C6C"/>
      <w:kern w:val="0"/>
      <w:sz w:val="22"/>
      <w:szCs w:val="22"/>
      <w:lang w:eastAsia="nl-BE"/>
      <w14:ligatures w14:val="none"/>
    </w:rPr>
  </w:style>
  <w:style w:type="paragraph" w:customStyle="1" w:styleId="Default">
    <w:name w:val="Default"/>
    <w:basedOn w:val="Standaard"/>
    <w:rsid w:val="00EF08E0"/>
    <w:pPr>
      <w:autoSpaceDE w:val="0"/>
      <w:autoSpaceDN w:val="0"/>
      <w:spacing w:after="0" w:line="240" w:lineRule="auto"/>
    </w:pPr>
    <w:rPr>
      <w:rFonts w:ascii="Flanders Art Sans" w:hAnsi="Flanders Art Sans" w:cs="Aptos"/>
      <w:color w:val="000000"/>
      <w:kern w:val="0"/>
      <w:lang w:eastAsia="nl-BE"/>
      <w14:ligatures w14:val="none"/>
    </w:rPr>
  </w:style>
  <w:style w:type="paragraph" w:styleId="Koptekst">
    <w:name w:val="header"/>
    <w:basedOn w:val="Standaard"/>
    <w:link w:val="KoptekstChar"/>
    <w:uiPriority w:val="99"/>
    <w:unhideWhenUsed/>
    <w:rsid w:val="006147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47F5"/>
  </w:style>
  <w:style w:type="paragraph" w:styleId="Voettekst">
    <w:name w:val="footer"/>
    <w:basedOn w:val="Standaard"/>
    <w:link w:val="VoettekstChar"/>
    <w:uiPriority w:val="99"/>
    <w:unhideWhenUsed/>
    <w:rsid w:val="006147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47F5"/>
  </w:style>
  <w:style w:type="paragraph" w:styleId="Kopvaninhoudsopgave">
    <w:name w:val="TOC Heading"/>
    <w:basedOn w:val="Kop1"/>
    <w:next w:val="Standaard"/>
    <w:uiPriority w:val="39"/>
    <w:unhideWhenUsed/>
    <w:qFormat/>
    <w:rsid w:val="004B0A16"/>
    <w:pPr>
      <w:spacing w:before="240" w:after="0" w:line="259" w:lineRule="auto"/>
      <w:outlineLvl w:val="9"/>
    </w:pPr>
    <w:rPr>
      <w:kern w:val="0"/>
      <w:sz w:val="32"/>
      <w:szCs w:val="32"/>
      <w:lang w:eastAsia="nl-BE"/>
      <w14:ligatures w14:val="none"/>
    </w:rPr>
  </w:style>
  <w:style w:type="paragraph" w:styleId="Inhopg2">
    <w:name w:val="toc 2"/>
    <w:basedOn w:val="Standaard"/>
    <w:next w:val="Standaard"/>
    <w:autoRedefine/>
    <w:uiPriority w:val="39"/>
    <w:unhideWhenUsed/>
    <w:rsid w:val="004B0A16"/>
    <w:pPr>
      <w:spacing w:after="100" w:line="259" w:lineRule="auto"/>
      <w:ind w:left="220"/>
    </w:pPr>
    <w:rPr>
      <w:rFonts w:eastAsiaTheme="minorEastAsia" w:cs="Times New Roman"/>
      <w:kern w:val="0"/>
      <w:sz w:val="22"/>
      <w:szCs w:val="22"/>
      <w:lang w:eastAsia="nl-BE"/>
      <w14:ligatures w14:val="none"/>
    </w:rPr>
  </w:style>
  <w:style w:type="paragraph" w:styleId="Inhopg1">
    <w:name w:val="toc 1"/>
    <w:basedOn w:val="Standaard"/>
    <w:next w:val="Standaard"/>
    <w:autoRedefine/>
    <w:uiPriority w:val="39"/>
    <w:unhideWhenUsed/>
    <w:rsid w:val="004B0A16"/>
    <w:pPr>
      <w:spacing w:after="100" w:line="259" w:lineRule="auto"/>
    </w:pPr>
    <w:rPr>
      <w:rFonts w:eastAsiaTheme="minorEastAsia" w:cs="Times New Roman"/>
      <w:kern w:val="0"/>
      <w:sz w:val="22"/>
      <w:szCs w:val="22"/>
      <w:lang w:eastAsia="nl-BE"/>
      <w14:ligatures w14:val="none"/>
    </w:rPr>
  </w:style>
  <w:style w:type="paragraph" w:styleId="Inhopg3">
    <w:name w:val="toc 3"/>
    <w:basedOn w:val="Standaard"/>
    <w:next w:val="Standaard"/>
    <w:autoRedefine/>
    <w:uiPriority w:val="39"/>
    <w:unhideWhenUsed/>
    <w:rsid w:val="004B0A16"/>
    <w:pPr>
      <w:spacing w:after="100" w:line="259" w:lineRule="auto"/>
      <w:ind w:left="440"/>
    </w:pPr>
    <w:rPr>
      <w:rFonts w:eastAsiaTheme="minorEastAsia" w:cs="Times New Roman"/>
      <w:kern w:val="0"/>
      <w:sz w:val="22"/>
      <w:szCs w:val="22"/>
      <w:lang w:eastAsia="nl-BE"/>
      <w14:ligatures w14:val="non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76046E"/>
    <w:rPr>
      <w:b/>
      <w:bCs/>
    </w:rPr>
  </w:style>
  <w:style w:type="character" w:customStyle="1" w:styleId="OnderwerpvanopmerkingChar">
    <w:name w:val="Onderwerp van opmerking Char"/>
    <w:basedOn w:val="TekstopmerkingChar"/>
    <w:link w:val="Onderwerpvanopmerking"/>
    <w:uiPriority w:val="99"/>
    <w:semiHidden/>
    <w:rsid w:val="0076046E"/>
    <w:rPr>
      <w:b/>
      <w:bCs/>
      <w:sz w:val="20"/>
      <w:szCs w:val="20"/>
    </w:rPr>
  </w:style>
  <w:style w:type="paragraph" w:styleId="Revisie">
    <w:name w:val="Revision"/>
    <w:hidden/>
    <w:uiPriority w:val="99"/>
    <w:semiHidden/>
    <w:rsid w:val="00445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15556">
      <w:bodyDiv w:val="1"/>
      <w:marLeft w:val="0"/>
      <w:marRight w:val="0"/>
      <w:marTop w:val="0"/>
      <w:marBottom w:val="0"/>
      <w:divBdr>
        <w:top w:val="none" w:sz="0" w:space="0" w:color="auto"/>
        <w:left w:val="none" w:sz="0" w:space="0" w:color="auto"/>
        <w:bottom w:val="none" w:sz="0" w:space="0" w:color="auto"/>
        <w:right w:val="none" w:sz="0" w:space="0" w:color="auto"/>
      </w:divBdr>
    </w:div>
    <w:div w:id="152112861">
      <w:bodyDiv w:val="1"/>
      <w:marLeft w:val="0"/>
      <w:marRight w:val="0"/>
      <w:marTop w:val="0"/>
      <w:marBottom w:val="0"/>
      <w:divBdr>
        <w:top w:val="none" w:sz="0" w:space="0" w:color="auto"/>
        <w:left w:val="none" w:sz="0" w:space="0" w:color="auto"/>
        <w:bottom w:val="none" w:sz="0" w:space="0" w:color="auto"/>
        <w:right w:val="none" w:sz="0" w:space="0" w:color="auto"/>
      </w:divBdr>
    </w:div>
    <w:div w:id="603074671">
      <w:bodyDiv w:val="1"/>
      <w:marLeft w:val="0"/>
      <w:marRight w:val="0"/>
      <w:marTop w:val="0"/>
      <w:marBottom w:val="0"/>
      <w:divBdr>
        <w:top w:val="none" w:sz="0" w:space="0" w:color="auto"/>
        <w:left w:val="none" w:sz="0" w:space="0" w:color="auto"/>
        <w:bottom w:val="none" w:sz="0" w:space="0" w:color="auto"/>
        <w:right w:val="none" w:sz="0" w:space="0" w:color="auto"/>
      </w:divBdr>
    </w:div>
    <w:div w:id="644117020">
      <w:bodyDiv w:val="1"/>
      <w:marLeft w:val="0"/>
      <w:marRight w:val="0"/>
      <w:marTop w:val="0"/>
      <w:marBottom w:val="0"/>
      <w:divBdr>
        <w:top w:val="none" w:sz="0" w:space="0" w:color="auto"/>
        <w:left w:val="none" w:sz="0" w:space="0" w:color="auto"/>
        <w:bottom w:val="none" w:sz="0" w:space="0" w:color="auto"/>
        <w:right w:val="none" w:sz="0" w:space="0" w:color="auto"/>
      </w:divBdr>
    </w:div>
    <w:div w:id="871235741">
      <w:bodyDiv w:val="1"/>
      <w:marLeft w:val="0"/>
      <w:marRight w:val="0"/>
      <w:marTop w:val="0"/>
      <w:marBottom w:val="0"/>
      <w:divBdr>
        <w:top w:val="none" w:sz="0" w:space="0" w:color="auto"/>
        <w:left w:val="none" w:sz="0" w:space="0" w:color="auto"/>
        <w:bottom w:val="none" w:sz="0" w:space="0" w:color="auto"/>
        <w:right w:val="none" w:sz="0" w:space="0" w:color="auto"/>
      </w:divBdr>
    </w:div>
    <w:div w:id="972633020">
      <w:bodyDiv w:val="1"/>
      <w:marLeft w:val="0"/>
      <w:marRight w:val="0"/>
      <w:marTop w:val="0"/>
      <w:marBottom w:val="0"/>
      <w:divBdr>
        <w:top w:val="none" w:sz="0" w:space="0" w:color="auto"/>
        <w:left w:val="none" w:sz="0" w:space="0" w:color="auto"/>
        <w:bottom w:val="none" w:sz="0" w:space="0" w:color="auto"/>
        <w:right w:val="none" w:sz="0" w:space="0" w:color="auto"/>
      </w:divBdr>
    </w:div>
    <w:div w:id="1461191922">
      <w:bodyDiv w:val="1"/>
      <w:marLeft w:val="0"/>
      <w:marRight w:val="0"/>
      <w:marTop w:val="0"/>
      <w:marBottom w:val="0"/>
      <w:divBdr>
        <w:top w:val="none" w:sz="0" w:space="0" w:color="auto"/>
        <w:left w:val="none" w:sz="0" w:space="0" w:color="auto"/>
        <w:bottom w:val="none" w:sz="0" w:space="0" w:color="auto"/>
        <w:right w:val="none" w:sz="0" w:space="0" w:color="auto"/>
      </w:divBdr>
    </w:div>
    <w:div w:id="1495534967">
      <w:bodyDiv w:val="1"/>
      <w:marLeft w:val="0"/>
      <w:marRight w:val="0"/>
      <w:marTop w:val="0"/>
      <w:marBottom w:val="0"/>
      <w:divBdr>
        <w:top w:val="none" w:sz="0" w:space="0" w:color="auto"/>
        <w:left w:val="none" w:sz="0" w:space="0" w:color="auto"/>
        <w:bottom w:val="none" w:sz="0" w:space="0" w:color="auto"/>
        <w:right w:val="none" w:sz="0" w:space="0" w:color="auto"/>
      </w:divBdr>
    </w:div>
    <w:div w:id="1496145381">
      <w:bodyDiv w:val="1"/>
      <w:marLeft w:val="0"/>
      <w:marRight w:val="0"/>
      <w:marTop w:val="0"/>
      <w:marBottom w:val="0"/>
      <w:divBdr>
        <w:top w:val="none" w:sz="0" w:space="0" w:color="auto"/>
        <w:left w:val="none" w:sz="0" w:space="0" w:color="auto"/>
        <w:bottom w:val="none" w:sz="0" w:space="0" w:color="auto"/>
        <w:right w:val="none" w:sz="0" w:space="0" w:color="auto"/>
      </w:divBdr>
    </w:div>
    <w:div w:id="1702706607">
      <w:bodyDiv w:val="1"/>
      <w:marLeft w:val="0"/>
      <w:marRight w:val="0"/>
      <w:marTop w:val="0"/>
      <w:marBottom w:val="0"/>
      <w:divBdr>
        <w:top w:val="none" w:sz="0" w:space="0" w:color="auto"/>
        <w:left w:val="none" w:sz="0" w:space="0" w:color="auto"/>
        <w:bottom w:val="none" w:sz="0" w:space="0" w:color="auto"/>
        <w:right w:val="none" w:sz="0" w:space="0" w:color="auto"/>
      </w:divBdr>
    </w:div>
    <w:div w:id="17551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be/url?sa=t&amp;rct=j&amp;q=&amp;esrc=s&amp;source=web&amp;cd=&amp;ved=2ahUKEwi2mKiNu6uHAxWcwAIHHc2ADLwQFnoECBAQAw&amp;url=https%3A%2F%2Fcnt-nar.be%2Fnl%2Fthema-dossiers%2Finnovatieve-arbeidsorganisatie%23%3A~%3Atext%3DHet%2520forfaitaire%2520bedrag%2520van%2520de%2Cvan%2520de%2520subsidie%252045.000%2520euro.&amp;usg=AOvVaw1TLAP9L2_R_dSwZ57fGoA8&amp;opi=899784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europa.eu/resource/cellar/79c0ce87-f4dc-11e6-8a35-01aa75ed71a1.0003.01/DOC_1" TargetMode="External"/><Relationship Id="rId5" Type="http://schemas.openxmlformats.org/officeDocument/2006/relationships/numbering" Target="numbering.xml"/><Relationship Id="rId15" Type="http://schemas.openxmlformats.org/officeDocument/2006/relationships/hyperlink" Target="https://www.vlaanderen.be/werken/kwaliteitsdatabank?order_title=a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werken/kwaliteits-en-registratiemodel-van-dienstverleners-binnen-werk-en-sociale-economie/aantonen-dat-u-voldo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5D8EF0625984C8A1272E63485651B" ma:contentTypeVersion="21" ma:contentTypeDescription="Een nieuw document maken." ma:contentTypeScope="" ma:versionID="6787f6d7ad84af5f1adc6c5ced217310">
  <xsd:schema xmlns:xsd="http://www.w3.org/2001/XMLSchema" xmlns:xs="http://www.w3.org/2001/XMLSchema" xmlns:p="http://schemas.microsoft.com/office/2006/metadata/properties" xmlns:ns2="21f4a0bb-5291-4553-8617-a7c7fe3942f3" xmlns:ns3="216ebc61-98f1-4950-92e9-871c401b584c" targetNamespace="http://schemas.microsoft.com/office/2006/metadata/properties" ma:root="true" ma:fieldsID="ab9717b5a3f8e36b0f6ebce93f1642e6" ns2:_="" ns3:_="">
    <xsd:import namespace="21f4a0bb-5291-4553-8617-a7c7fe3942f3"/>
    <xsd:import namespace="216ebc61-98f1-4950-92e9-871c401b58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4a0bb-5291-4553-8617-a7c7fe3942f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ebc61-98f1-4950-92e9-871c401b584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8e32fe6-8d4f-4676-ab41-bd7970dda2df}" ma:internalName="TaxCatchAll" ma:showField="CatchAllData" ma:web="216ebc61-98f1-4950-92e9-871c401b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6ebc61-98f1-4950-92e9-871c401b584c" xsi:nil="true"/>
    <lcf76f155ced4ddcb4097134ff3c332f xmlns="21f4a0bb-5291-4553-8617-a7c7fe3942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F289CB-595B-49A3-B681-7DDE5212FD33}">
  <ds:schemaRefs>
    <ds:schemaRef ds:uri="http://schemas.openxmlformats.org/officeDocument/2006/bibliography"/>
  </ds:schemaRefs>
</ds:datastoreItem>
</file>

<file path=customXml/itemProps2.xml><?xml version="1.0" encoding="utf-8"?>
<ds:datastoreItem xmlns:ds="http://schemas.openxmlformats.org/officeDocument/2006/customXml" ds:itemID="{CD1F9374-0C2C-43E4-8DEC-852164AE2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4a0bb-5291-4553-8617-a7c7fe3942f3"/>
    <ds:schemaRef ds:uri="216ebc61-98f1-4950-92e9-871c401b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9538A-2E1A-49B7-B30F-485BCCD87EAB}">
  <ds:schemaRefs>
    <ds:schemaRef ds:uri="http://schemas.microsoft.com/sharepoint/v3/contenttype/forms"/>
  </ds:schemaRefs>
</ds:datastoreItem>
</file>

<file path=customXml/itemProps4.xml><?xml version="1.0" encoding="utf-8"?>
<ds:datastoreItem xmlns:ds="http://schemas.openxmlformats.org/officeDocument/2006/customXml" ds:itemID="{9F8C359F-3CC8-49BF-ADCF-7E177D48626B}">
  <ds:schemaRefs>
    <ds:schemaRef ds:uri="http://schemas.microsoft.com/office/2006/metadata/properties"/>
    <ds:schemaRef ds:uri="http://schemas.microsoft.com/office/infopath/2007/PartnerControls"/>
    <ds:schemaRef ds:uri="216ebc61-98f1-4950-92e9-871c401b584c"/>
    <ds:schemaRef ds:uri="21f4a0bb-5291-4553-8617-a7c7fe3942f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2248</Words>
  <Characters>12370</Characters>
  <Application>Microsoft Office Word</Application>
  <DocSecurity>0</DocSecurity>
  <Lines>103</Lines>
  <Paragraphs>29</Paragraphs>
  <ScaleCrop>false</ScaleCrop>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Smeyers Sarah</dc:creator>
  <cp:keywords/>
  <dc:description/>
  <cp:lastModifiedBy>De Craemer Anke</cp:lastModifiedBy>
  <cp:revision>2</cp:revision>
  <dcterms:created xsi:type="dcterms:W3CDTF">2024-10-01T15:08:00Z</dcterms:created>
  <dcterms:modified xsi:type="dcterms:W3CDTF">2024-10-01T15:08:00Z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0x010100F9F5D8EF0625984C8A1272E63485651B</vt:lpwstr>
  </property>
  <property fmtid="{D5CDD505-2E9C-101B-9397-08002B2CF9AE}" pid="3" name="MediaServiceImageTags">
    <vt:lpwstr/>
  </property>
  <property fmtid="{D5CDD505-2E9C-101B-9397-08002B2CF9AE}" pid="4" name="Order">
    <vt:r8>100</vt:r8>
  </property>
  <property fmtid="{D5CDD505-2E9C-101B-9397-08002B2CF9AE}" pid="5" name="_ExtendedDescription">
    <vt:lpwstr/>
  </property>
</Properties>
</file>