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0B" w:rsidRPr="00790D6C" w:rsidRDefault="0061090B">
      <w:pPr>
        <w:rPr>
          <w:b/>
          <w:u w:val="single"/>
        </w:rPr>
      </w:pPr>
      <w:bookmarkStart w:id="0" w:name="_GoBack"/>
      <w:bookmarkEnd w:id="0"/>
      <w:r w:rsidRPr="00790D6C">
        <w:rPr>
          <w:b/>
          <w:u w:val="single"/>
        </w:rPr>
        <w:t>Infosessie opleiding</w:t>
      </w:r>
      <w:r w:rsidR="00790D6C" w:rsidRPr="00790D6C">
        <w:rPr>
          <w:b/>
          <w:u w:val="single"/>
        </w:rPr>
        <w:t>en in bedrijven 13 oktober 2016</w:t>
      </w:r>
    </w:p>
    <w:p w:rsidR="00790D6C" w:rsidRDefault="00790D6C" w:rsidP="00310E96">
      <w:pPr>
        <w:pStyle w:val="Lijstalinea"/>
        <w:numPr>
          <w:ilvl w:val="0"/>
          <w:numId w:val="1"/>
        </w:numPr>
      </w:pPr>
      <w:r>
        <w:t>Moeten middelgrote ondernemingen ook 30% private financiering voorzien</w:t>
      </w:r>
      <w:r w:rsidR="0061090B">
        <w:t xml:space="preserve">? </w:t>
      </w:r>
    </w:p>
    <w:p w:rsidR="00790D6C" w:rsidRDefault="0061090B" w:rsidP="00790D6C">
      <w:r>
        <w:t xml:space="preserve">Voor middelgrote ondernemingen geldt een private financiering van 50%. </w:t>
      </w:r>
    </w:p>
    <w:p w:rsidR="00790D6C" w:rsidRDefault="00790D6C" w:rsidP="00790D6C">
      <w:pPr>
        <w:pStyle w:val="Lijstalinea"/>
        <w:numPr>
          <w:ilvl w:val="0"/>
          <w:numId w:val="1"/>
        </w:numPr>
      </w:pPr>
      <w:r>
        <w:t>Hoe wordt een</w:t>
      </w:r>
      <w:r w:rsidRPr="00790D6C">
        <w:t xml:space="preserve"> middelgrote onderneming</w:t>
      </w:r>
      <w:r>
        <w:t xml:space="preserve"> gedefinieerd</w:t>
      </w:r>
      <w:r w:rsidRPr="00790D6C">
        <w:t>?</w:t>
      </w:r>
    </w:p>
    <w:p w:rsidR="0061090B" w:rsidRDefault="0061090B" w:rsidP="00790D6C">
      <w:r>
        <w:t xml:space="preserve">Voor het bepalen van de grootte van de onderneming hanteren wij de Europese definitie. Deze is toegevoegd aan de oproepfiche. </w:t>
      </w:r>
    </w:p>
    <w:p w:rsidR="0061090B" w:rsidRDefault="0061090B" w:rsidP="00790D6C">
      <w:pPr>
        <w:pStyle w:val="Lijstalinea"/>
        <w:numPr>
          <w:ilvl w:val="0"/>
          <w:numId w:val="1"/>
        </w:numPr>
      </w:pPr>
      <w:r>
        <w:t>Mogen mutualiteiten indienen?</w:t>
      </w:r>
    </w:p>
    <w:p w:rsidR="0061090B" w:rsidRDefault="0061090B">
      <w:r w:rsidRPr="00FB13B4">
        <w:t xml:space="preserve">Ja, </w:t>
      </w:r>
      <w:r w:rsidR="00FB13B4">
        <w:t xml:space="preserve">mutualiteiten worden niet beschouwd als publiekrechtelijke instanties en kunnen dus indienen in deze oproep. </w:t>
      </w:r>
    </w:p>
    <w:p w:rsidR="0061090B" w:rsidRDefault="0061090B" w:rsidP="00790D6C">
      <w:pPr>
        <w:pStyle w:val="Lijstalinea"/>
        <w:numPr>
          <w:ilvl w:val="0"/>
          <w:numId w:val="1"/>
        </w:numPr>
      </w:pPr>
      <w:r>
        <w:t xml:space="preserve">Als de oproepen hernomen worden, kunnen dan promotoren uit eerdere oproepen 307 en 322 </w:t>
      </w:r>
      <w:r w:rsidR="00E25D4C">
        <w:t>indienen?</w:t>
      </w:r>
    </w:p>
    <w:p w:rsidR="00E25D4C" w:rsidRDefault="00E25D4C">
      <w:r>
        <w:t>Dit wordt bekeken op het moment van lancering van de oproepen.</w:t>
      </w:r>
    </w:p>
    <w:p w:rsidR="00E25D4C" w:rsidRDefault="00E25D4C" w:rsidP="00790D6C">
      <w:pPr>
        <w:pStyle w:val="Lijstalinea"/>
        <w:numPr>
          <w:ilvl w:val="0"/>
          <w:numId w:val="1"/>
        </w:numPr>
      </w:pPr>
      <w:r>
        <w:t>Kunnen sectorfondsen indienen?</w:t>
      </w:r>
    </w:p>
    <w:p w:rsidR="00E25D4C" w:rsidRDefault="00E25D4C">
      <w:r w:rsidRPr="008629CA">
        <w:t>Ja, dit kan.</w:t>
      </w:r>
    </w:p>
    <w:p w:rsidR="00E25D4C" w:rsidRDefault="00E25D4C" w:rsidP="00790D6C">
      <w:pPr>
        <w:pStyle w:val="Lijstalinea"/>
        <w:numPr>
          <w:ilvl w:val="0"/>
          <w:numId w:val="1"/>
        </w:numPr>
      </w:pPr>
      <w:r>
        <w:t>Indien één onderneming uit de groep al ingediend heeft, kunnen dan andere ondernemingen uit de groep nog indienen?</w:t>
      </w:r>
    </w:p>
    <w:p w:rsidR="004C5CA2" w:rsidRDefault="004C5CA2" w:rsidP="004C5CA2">
      <w:r>
        <w:t>A</w:t>
      </w:r>
      <w:r w:rsidRPr="004C5CA2">
        <w:t xml:space="preserve">fzonderlijke ondernemingen die tot eenzelfde groep behoren </w:t>
      </w:r>
      <w:r>
        <w:t xml:space="preserve">kunnen </w:t>
      </w:r>
      <w:r w:rsidRPr="004C5CA2">
        <w:t>een afzonderlijk project indienen, op voorwaarde dat zij een verschillend ondernemings- en vestigingsnummer hebben</w:t>
      </w:r>
      <w:r>
        <w:t xml:space="preserve">. </w:t>
      </w:r>
    </w:p>
    <w:p w:rsidR="00E25D4C" w:rsidRDefault="00E25D4C" w:rsidP="004C5CA2">
      <w:pPr>
        <w:pStyle w:val="Lijstalinea"/>
        <w:numPr>
          <w:ilvl w:val="0"/>
          <w:numId w:val="1"/>
        </w:numPr>
      </w:pPr>
      <w:r>
        <w:t>Is het vooraf mogelijk om de opleidingen</w:t>
      </w:r>
      <w:r w:rsidR="00790D6C">
        <w:t xml:space="preserve"> ter goedkeuring</w:t>
      </w:r>
      <w:r>
        <w:t xml:space="preserve"> voor te leggen?</w:t>
      </w:r>
    </w:p>
    <w:p w:rsidR="00E25D4C" w:rsidRDefault="00E25D4C">
      <w:r>
        <w:t>Neen, dit maakt deel uit van de beoordeling van het projectvoorstel en gebeurt dus niet vooraf.</w:t>
      </w:r>
    </w:p>
    <w:p w:rsidR="00E25D4C" w:rsidRDefault="00E25D4C" w:rsidP="00790D6C">
      <w:pPr>
        <w:pStyle w:val="Lijstalinea"/>
        <w:numPr>
          <w:ilvl w:val="0"/>
          <w:numId w:val="1"/>
        </w:numPr>
      </w:pPr>
      <w:r>
        <w:t>Mag een leerbewijs door de organisatie zelf afgeleverd worden indien de opleiding intern georganiseerd wordt?</w:t>
      </w:r>
    </w:p>
    <w:p w:rsidR="00E25D4C" w:rsidRDefault="00E25D4C">
      <w:r>
        <w:t>Ja, dit mag.</w:t>
      </w:r>
    </w:p>
    <w:p w:rsidR="00E25D4C" w:rsidRDefault="00E25D4C" w:rsidP="00790D6C">
      <w:pPr>
        <w:pStyle w:val="Lijstalinea"/>
        <w:numPr>
          <w:ilvl w:val="0"/>
          <w:numId w:val="1"/>
        </w:numPr>
      </w:pPr>
      <w:r>
        <w:t xml:space="preserve">Wordt coaching </w:t>
      </w:r>
      <w:r w:rsidR="00790D6C">
        <w:t xml:space="preserve">van leidinggevenden </w:t>
      </w:r>
      <w:r>
        <w:t>ook verstaan onder opleiding?</w:t>
      </w:r>
    </w:p>
    <w:p w:rsidR="00790D6C" w:rsidRDefault="00790D6C">
      <w:r>
        <w:t xml:space="preserve">Dit zou eventueel mogelijk zijn, maar externe opleidingen mogen niet één-op-één gegeven worden dus een externe coaching voor één persoon is niet mogelijk. Bijkomend moeten de opleidingen die in het kader van het project gegeven worden additioneel zijn en een stimulerend effect hebben. Ook moet rekening gehouden worden met de voorwaarden met betrekking tot on-the-job-training. </w:t>
      </w:r>
    </w:p>
    <w:p w:rsidR="00E25D4C" w:rsidRDefault="00E25D4C" w:rsidP="00790D6C">
      <w:pPr>
        <w:pStyle w:val="Lijstalinea"/>
        <w:numPr>
          <w:ilvl w:val="0"/>
          <w:numId w:val="1"/>
        </w:numPr>
      </w:pPr>
      <w:r>
        <w:t xml:space="preserve">Wat wordt </w:t>
      </w:r>
      <w:r w:rsidR="00790D6C">
        <w:t>bedoeld met</w:t>
      </w:r>
      <w:r>
        <w:t xml:space="preserve"> topmanagement en middenkader?</w:t>
      </w:r>
    </w:p>
    <w:p w:rsidR="00E25D4C" w:rsidRDefault="00790D6C">
      <w:r>
        <w:t>Met middenkader bedoelen wij eerstelijnsleidinggevenden</w:t>
      </w:r>
      <w:r w:rsidR="0018041A">
        <w:t>.</w:t>
      </w:r>
      <w:r>
        <w:t xml:space="preserve"> Opleidingen voor deze groep zijn mogelijk. </w:t>
      </w:r>
    </w:p>
    <w:p w:rsidR="0018041A" w:rsidRDefault="0018041A" w:rsidP="00790D6C">
      <w:pPr>
        <w:pStyle w:val="Lijstalinea"/>
        <w:numPr>
          <w:ilvl w:val="0"/>
          <w:numId w:val="1"/>
        </w:numPr>
      </w:pPr>
      <w:r>
        <w:lastRenderedPageBreak/>
        <w:t xml:space="preserve">Kunnen de uren voor het beheer </w:t>
      </w:r>
      <w:r w:rsidR="00790D6C">
        <w:t xml:space="preserve">en de organisatie van de opleidingen </w:t>
      </w:r>
      <w:r>
        <w:t>opgenomen worden voor de private financiering?</w:t>
      </w:r>
    </w:p>
    <w:p w:rsidR="0018041A" w:rsidRDefault="0018041A">
      <w:r>
        <w:t>Neen, het zijn enkel de opleidingsuren.</w:t>
      </w:r>
    </w:p>
    <w:p w:rsidR="0018041A" w:rsidRDefault="0018041A" w:rsidP="00790D6C">
      <w:pPr>
        <w:pStyle w:val="Lijstalinea"/>
        <w:numPr>
          <w:ilvl w:val="0"/>
          <w:numId w:val="1"/>
        </w:numPr>
      </w:pPr>
      <w:r>
        <w:t xml:space="preserve">Wat wordt bedoeld met </w:t>
      </w:r>
      <w:r w:rsidR="00790D6C">
        <w:t>‘</w:t>
      </w:r>
      <w:proofErr w:type="spellStart"/>
      <w:r>
        <w:t>toolboxmeetings</w:t>
      </w:r>
      <w:proofErr w:type="spellEnd"/>
      <w:r w:rsidR="00790D6C">
        <w:t>’</w:t>
      </w:r>
      <w:r>
        <w:t>?</w:t>
      </w:r>
    </w:p>
    <w:p w:rsidR="0018041A" w:rsidRDefault="0018041A">
      <w:r>
        <w:t xml:space="preserve">Dit zijn bijvoorbeeld meetings die georganiseerd worden door de eerstelijnsleidinggevenden rond bijvoorbeeld veiligheid, VCA, kwaliteit, … . </w:t>
      </w:r>
    </w:p>
    <w:p w:rsidR="0018041A" w:rsidRDefault="00790D6C" w:rsidP="00790D6C">
      <w:pPr>
        <w:pStyle w:val="Lijstalinea"/>
        <w:numPr>
          <w:ilvl w:val="0"/>
          <w:numId w:val="1"/>
        </w:numPr>
      </w:pPr>
      <w:r>
        <w:t>Welke definitie van ‘allochtoon’ moet gehanteerd worden</w:t>
      </w:r>
      <w:r w:rsidR="0018041A">
        <w:t>?</w:t>
      </w:r>
    </w:p>
    <w:p w:rsidR="0018041A" w:rsidRDefault="00790D6C">
      <w:r>
        <w:t>Wij hanteren de d</w:t>
      </w:r>
      <w:r w:rsidR="0018041A">
        <w:t>efinitie van VDAB</w:t>
      </w:r>
      <w:r>
        <w:t xml:space="preserve">. Deze is terug te vinden op de website van VDAB: </w:t>
      </w:r>
      <w:hyperlink r:id="rId5" w:history="1">
        <w:r w:rsidR="00FB13B4" w:rsidRPr="00FF5561">
          <w:rPr>
            <w:rStyle w:val="Hyperlink"/>
          </w:rPr>
          <w:t>https://www.vdab.be/cvs/kansengroepen.shtml</w:t>
        </w:r>
      </w:hyperlink>
      <w:r w:rsidR="00FB13B4">
        <w:t>.</w:t>
      </w:r>
    </w:p>
    <w:p w:rsidR="0018041A" w:rsidRDefault="0018041A" w:rsidP="00FB13B4">
      <w:pPr>
        <w:pStyle w:val="Lijstalinea"/>
        <w:numPr>
          <w:ilvl w:val="0"/>
          <w:numId w:val="1"/>
        </w:numPr>
      </w:pPr>
      <w:r>
        <w:t>Moet de strategische visie bedrijfsinnovatie omvatten of kan dit ook</w:t>
      </w:r>
      <w:r w:rsidR="00FB13B4">
        <w:t xml:space="preserve"> bijvoorbeeld</w:t>
      </w:r>
      <w:r>
        <w:t xml:space="preserve"> internationalisatie zijn?</w:t>
      </w:r>
    </w:p>
    <w:p w:rsidR="0018041A" w:rsidRDefault="0018041A">
      <w:r>
        <w:t>Dit kan inderdaad.</w:t>
      </w:r>
    </w:p>
    <w:p w:rsidR="0018041A" w:rsidRDefault="0013615B" w:rsidP="00FB13B4">
      <w:pPr>
        <w:pStyle w:val="Lijstalinea"/>
        <w:numPr>
          <w:ilvl w:val="0"/>
          <w:numId w:val="1"/>
        </w:numPr>
      </w:pPr>
      <w:r>
        <w:t>Is de BTW inbegrepen in de 125 euro/uur?</w:t>
      </w:r>
    </w:p>
    <w:p w:rsidR="0013615B" w:rsidRDefault="0013615B">
      <w:r>
        <w:t xml:space="preserve">Indien u </w:t>
      </w:r>
      <w:proofErr w:type="spellStart"/>
      <w:r>
        <w:t>BTW-plichtig</w:t>
      </w:r>
      <w:proofErr w:type="spellEnd"/>
      <w:r>
        <w:t xml:space="preserve"> </w:t>
      </w:r>
      <w:r w:rsidR="00FB13B4">
        <w:t xml:space="preserve">bent, kan u deze niet inbrengen. Indien nu niet </w:t>
      </w:r>
      <w:proofErr w:type="spellStart"/>
      <w:r w:rsidR="00FB13B4">
        <w:t>BTW-plichtig</w:t>
      </w:r>
      <w:proofErr w:type="spellEnd"/>
      <w:r w:rsidR="00FB13B4">
        <w:t xml:space="preserve"> bent, moet u deze wel inbrengen en is de BTW inbegrepen in de 125 euro/uur. </w:t>
      </w:r>
    </w:p>
    <w:p w:rsidR="0013615B" w:rsidRDefault="0013615B" w:rsidP="00FB13B4">
      <w:pPr>
        <w:pStyle w:val="Lijstalinea"/>
        <w:numPr>
          <w:ilvl w:val="0"/>
          <w:numId w:val="1"/>
        </w:numPr>
      </w:pPr>
      <w:r>
        <w:t>Hoe kan de marktconsultatie aangetoond worden?</w:t>
      </w:r>
    </w:p>
    <w:p w:rsidR="0013615B" w:rsidRDefault="0013615B">
      <w:r>
        <w:t xml:space="preserve">Dit kan bijvoorbeeld door </w:t>
      </w:r>
      <w:r w:rsidR="00FB13B4">
        <w:t xml:space="preserve">bij </w:t>
      </w:r>
      <w:r>
        <w:t xml:space="preserve">een aantal onderaannemers een offerte op te vragen, maar kan ook door het voorzien van een aantal </w:t>
      </w:r>
      <w:proofErr w:type="spellStart"/>
      <w:r>
        <w:t>printscreens</w:t>
      </w:r>
      <w:proofErr w:type="spellEnd"/>
      <w:r>
        <w:t xml:space="preserve"> van websites met de prijzen </w:t>
      </w:r>
      <w:r w:rsidR="00FB13B4">
        <w:t>van</w:t>
      </w:r>
      <w:r>
        <w:t xml:space="preserve"> opleidingen. Voor organisaties die onder de wetgeving overheidsopdrachten vallen, geldt dat de wetgeving overheidsopdrachten gerespecteerd moet worden.</w:t>
      </w:r>
    </w:p>
    <w:p w:rsidR="0013615B" w:rsidRDefault="00FB13B4" w:rsidP="00FB13B4">
      <w:pPr>
        <w:pStyle w:val="Lijstalinea"/>
        <w:numPr>
          <w:ilvl w:val="0"/>
          <w:numId w:val="1"/>
        </w:numPr>
      </w:pPr>
      <w:r>
        <w:t>Indien je als organisatie door de subsidies de opleidingen sneller kan uitvoeren dan indien er geen subsidies zijn, wordt dit dan ook gezien als een stimulerend effect</w:t>
      </w:r>
      <w:r w:rsidR="00F6673B">
        <w:t>?</w:t>
      </w:r>
    </w:p>
    <w:p w:rsidR="00F6673B" w:rsidRDefault="00F6673B">
      <w:r>
        <w:t>Ja, dit wordt ook gezien als een stimulerend effect.</w:t>
      </w:r>
    </w:p>
    <w:p w:rsidR="00F6673B" w:rsidRDefault="00F6673B" w:rsidP="00FB13B4">
      <w:pPr>
        <w:pStyle w:val="Lijstalinea"/>
        <w:numPr>
          <w:ilvl w:val="0"/>
          <w:numId w:val="1"/>
        </w:numPr>
      </w:pPr>
      <w:r>
        <w:t>Het budget is 7.500.000 euro, wordt dit aangevuld voor de komende oproepen?</w:t>
      </w:r>
    </w:p>
    <w:p w:rsidR="00F6673B" w:rsidRDefault="00F6673B">
      <w:r>
        <w:t>We gaan dit bekijken.</w:t>
      </w:r>
      <w:r w:rsidR="008629CA">
        <w:t xml:space="preserve"> Daar kunnen we nu nog geen uitsluitsel over geven.</w:t>
      </w:r>
    </w:p>
    <w:p w:rsidR="0061090B" w:rsidRDefault="00F6673B" w:rsidP="00FB13B4">
      <w:pPr>
        <w:pStyle w:val="Lijstalinea"/>
        <w:numPr>
          <w:ilvl w:val="0"/>
          <w:numId w:val="1"/>
        </w:numPr>
      </w:pPr>
      <w:r>
        <w:t>Mag er vanuit één organisatie voor meerdere clusters ingediend worden?</w:t>
      </w:r>
    </w:p>
    <w:p w:rsidR="00F6673B" w:rsidRDefault="00F6673B">
      <w:r>
        <w:t xml:space="preserve">Er mogen per project verschillende clusters </w:t>
      </w:r>
      <w:r w:rsidR="00FB13B4">
        <w:t xml:space="preserve">van opleidingen </w:t>
      </w:r>
      <w:r>
        <w:t>ingediend worden.</w:t>
      </w:r>
    </w:p>
    <w:p w:rsidR="00F6673B" w:rsidRDefault="00F6673B" w:rsidP="00FB13B4">
      <w:pPr>
        <w:pStyle w:val="Lijstalinea"/>
        <w:numPr>
          <w:ilvl w:val="0"/>
          <w:numId w:val="1"/>
        </w:numPr>
      </w:pPr>
      <w:r>
        <w:t>Mag er gecombineerd worden met de oproep Anders organiseren?</w:t>
      </w:r>
    </w:p>
    <w:p w:rsidR="00F6673B" w:rsidRDefault="00F6673B">
      <w:r>
        <w:t>Dit mag. Er mag ook ingediend worden in de oproep Duurzaam Loopbaanbeleid.</w:t>
      </w:r>
    </w:p>
    <w:p w:rsidR="00F47179" w:rsidRDefault="00F47179" w:rsidP="00F47179">
      <w:pPr>
        <w:pStyle w:val="Lijstalinea"/>
        <w:numPr>
          <w:ilvl w:val="0"/>
          <w:numId w:val="1"/>
        </w:numPr>
      </w:pPr>
      <w:r w:rsidRPr="00F47179">
        <w:t>Transversale vaardigheden: mogen vb. “taalopleidingen” en opleidingen “</w:t>
      </w:r>
      <w:proofErr w:type="spellStart"/>
      <w:r w:rsidRPr="00F47179">
        <w:t>lean</w:t>
      </w:r>
      <w:proofErr w:type="spellEnd"/>
      <w:r w:rsidRPr="00F47179">
        <w:t>” (</w:t>
      </w:r>
      <w:proofErr w:type="spellStart"/>
      <w:r w:rsidRPr="00F47179">
        <w:t>voorzover</w:t>
      </w:r>
      <w:proofErr w:type="spellEnd"/>
      <w:r w:rsidRPr="00F47179">
        <w:t xml:space="preserve"> die uiteraard niet bedrijfsspecifiek zijn) ?</w:t>
      </w:r>
    </w:p>
    <w:p w:rsidR="00F47179" w:rsidRDefault="00F47179" w:rsidP="00F47179">
      <w:r w:rsidRPr="00F47179">
        <w:lastRenderedPageBreak/>
        <w:t xml:space="preserve">Taalopleidingen op zich mogen wel (bv cursus frans), opleidingen in andere taal (bv. opleidingen lassen in het frans) mogen niet. Bedrijfsspecificiteit is in deze oproep verlaten dus daar moet je geen rekening mee houden. In het algemeen gaan we niet op voorhand bepaalde opleidingen wel of niet aanvaarden. Het is aan de promotor om te beargumenteren waarom deze in een bepaalde cluster van opleidingen valt (voor bv. </w:t>
      </w:r>
      <w:proofErr w:type="spellStart"/>
      <w:r w:rsidRPr="00F47179">
        <w:t>Lean</w:t>
      </w:r>
      <w:proofErr w:type="spellEnd"/>
      <w:r w:rsidRPr="00F47179">
        <w:t xml:space="preserve"> zie ik geen link met sociale vaardigheden maar deze kan u wel beargumenteren).</w:t>
      </w:r>
    </w:p>
    <w:p w:rsidR="00F47179" w:rsidRDefault="00F47179" w:rsidP="00F47179">
      <w:pPr>
        <w:pStyle w:val="Lijstalinea"/>
        <w:numPr>
          <w:ilvl w:val="0"/>
          <w:numId w:val="1"/>
        </w:numPr>
      </w:pPr>
      <w:r w:rsidRPr="00F47179">
        <w:t>Mogen vragen 5, 6 en 7 van de inhoudelijke vragen louter beantwoord worden in de opleidingsfiches, of dient hier ook een globaal antwoord te worden gegeven in het sjabloon van de inhoudelijke vragen ?</w:t>
      </w:r>
    </w:p>
    <w:p w:rsidR="00F47179" w:rsidRDefault="00F47179" w:rsidP="00F47179">
      <w:r>
        <w:t>Alvorens aan het projectvoorstel te beginnen kunt u best de handleiding raadplegen (vindt u in de ESF-applicatie)</w:t>
      </w:r>
      <w:r w:rsidRPr="00F47179">
        <w:t>, hierin staat vermeld waar u de vragen moet beantwoorden. Vraag 5 moet inderdaad per opleiding in de fiche worden beantwoord. Ook in de inhoudelijke analyse wordt hiernaar gepeild (dit om het overzicht te bewaren voor de evaluator – dit antwoord mag eerder algemeen zijn). Vraag 6 enkel in de fiche, vraag 7 in het planningssjabloon.</w:t>
      </w:r>
    </w:p>
    <w:p w:rsidR="00F47179" w:rsidRDefault="00F47179" w:rsidP="00F47179">
      <w:pPr>
        <w:pStyle w:val="Lijstalinea"/>
        <w:numPr>
          <w:ilvl w:val="0"/>
          <w:numId w:val="1"/>
        </w:numPr>
      </w:pPr>
      <w:r>
        <w:t>Wat is het verschil tussen on-the-job opleidingen en opleidingen aan machines?</w:t>
      </w:r>
    </w:p>
    <w:p w:rsidR="00F47179" w:rsidRDefault="00F47179" w:rsidP="00F47179">
      <w:r>
        <w:t>O</w:t>
      </w:r>
      <w:r w:rsidRPr="00F47179">
        <w:t xml:space="preserve">pleidingen aan machines zijn onderdeel van on the job opleidingen, anderzijds zijn on the job opleidingen niet steeds aan machines (achter laptop bv). Voor deze laatste categorie geldt dus dat ze NIET tot productie mogen leiden en dat er dus bijgevolg wel deelnemerskost kan worden ingebracht. Voor opleidingen aan machines gaan we er van uit dat er WEL productie is, hier mogen dan ook geen </w:t>
      </w:r>
      <w:proofErr w:type="spellStart"/>
      <w:r w:rsidRPr="00F47179">
        <w:t>deelnemerkosten</w:t>
      </w:r>
      <w:proofErr w:type="spellEnd"/>
      <w:r w:rsidRPr="00F47179">
        <w:t xml:space="preserve"> worden ingebracht. Bij deze laatste is het wel noodzakelijk dat deze opleidingen het gevolg zijn van een strategische vernieuwing van het bedrijf (</w:t>
      </w:r>
      <w:proofErr w:type="spellStart"/>
      <w:r w:rsidRPr="00F47179">
        <w:t>cfr</w:t>
      </w:r>
      <w:proofErr w:type="spellEnd"/>
      <w:r w:rsidRPr="00F47179">
        <w:t>. cluster 4).</w:t>
      </w:r>
    </w:p>
    <w:p w:rsidR="008629CA" w:rsidRDefault="008629CA" w:rsidP="008629CA">
      <w:pPr>
        <w:pStyle w:val="Lijstalinea"/>
        <w:numPr>
          <w:ilvl w:val="0"/>
          <w:numId w:val="1"/>
        </w:numPr>
      </w:pPr>
      <w:r>
        <w:t xml:space="preserve">Managementvennootschappen zijn mogelijk zowel als deelnemer als </w:t>
      </w:r>
      <w:proofErr w:type="spellStart"/>
      <w:r>
        <w:t>als</w:t>
      </w:r>
      <w:proofErr w:type="spellEnd"/>
      <w:r>
        <w:t xml:space="preserve"> opleider. Wat wordt precies onder “managementvennootschap” verstaan?</w:t>
      </w:r>
    </w:p>
    <w:p w:rsidR="008629CA" w:rsidRDefault="008629CA" w:rsidP="008629CA">
      <w:r>
        <w:t xml:space="preserve">We beschouwen een managementvennootschap als een financiële constructie die gehanteerd wordt door managers, zaakvoerders, enzovoort. Kenmerkend hiervoor is dat de personen die een managementvennootschap hebben binnen de onderneming degenen zijn die beslissingen nemen en de verantwoordelijkheid voor de onderneming dragen. Dit moet aangetoond worden op basis van de overeenkomst tussen de organisatie en de managementvennootschap of uit de statuten van de organisatie. Indien dit het geval is, kunnen deze personen ingebracht worden als intern personeel.             </w:t>
      </w:r>
    </w:p>
    <w:p w:rsidR="008629CA" w:rsidRDefault="008629CA" w:rsidP="008629CA">
      <w:pPr>
        <w:pStyle w:val="Lijstalinea"/>
        <w:numPr>
          <w:ilvl w:val="0"/>
          <w:numId w:val="1"/>
        </w:numPr>
      </w:pPr>
      <w:r>
        <w:t>In hoeverre is het engagement om migranten en ouderen te bereiken doorslaggevend in de goedkeuring van het projectvoorstel en een positieve evaluatie van de eindrapportering? Wat met bedrijven die heel weinig ouderen en/of migranten tewerkstellen (vaak buiten hun wil om)?</w:t>
      </w:r>
    </w:p>
    <w:p w:rsidR="00F6673B" w:rsidRDefault="008629CA" w:rsidP="008629CA">
      <w:r>
        <w:t xml:space="preserve">Dit kan u breder trekken naar andere kansengroepen (mensen met een handicap, jongeren,…). Ook kunnen er creatieve manieren worden gezocht om deze aantallen wel te bereiken: in partnerschap gaan of met </w:t>
      </w:r>
      <w:proofErr w:type="spellStart"/>
      <w:r>
        <w:t>interimarbeid</w:t>
      </w:r>
      <w:proofErr w:type="spellEnd"/>
      <w:r>
        <w:t xml:space="preserve"> werken. Dit is één van de evaluatievragen waarop u gescoord zal worden (met andere woorden, “er werken geen ouderen/migranten“ zal op deze evaluatievraag slecht scoren).</w:t>
      </w:r>
    </w:p>
    <w:p w:rsidR="008629CA" w:rsidRDefault="008629CA" w:rsidP="008629CA">
      <w:pPr>
        <w:pStyle w:val="Lijstalinea"/>
        <w:numPr>
          <w:ilvl w:val="0"/>
          <w:numId w:val="1"/>
        </w:numPr>
      </w:pPr>
      <w:r>
        <w:t>Mijn organisatie krijgt overheidssubsidies, kom ik in aanmerking voor deze oproep?</w:t>
      </w:r>
    </w:p>
    <w:p w:rsidR="008629CA" w:rsidRDefault="008629CA" w:rsidP="008629CA">
      <w:r>
        <w:lastRenderedPageBreak/>
        <w:t xml:space="preserve">Voor deze oproep werd bepaald dat publiekrechtelijke instanties niet mogen indienen. De afdeling ESF volgt hierin de Europese regelgeving, zijnde Artikel 1.9 van Richtlijn 2004/18/EG en artikel 2.16 van de Verordening nr. 1303/2013 van het Europees parlement en de Raad van 17 december 2013. Onder ‘publiekrechtelijke instelling’ wordt op basis hiervan iedere instelling verstaan: </w:t>
      </w:r>
    </w:p>
    <w:p w:rsidR="008629CA" w:rsidRDefault="008629CA" w:rsidP="008629CA">
      <w:r>
        <w:t>a) die is opgericht met het specifieke doel te voorzien in behoeften van algemeen belang die niet van industriële of commerciële aard zijn,</w:t>
      </w:r>
    </w:p>
    <w:p w:rsidR="008629CA" w:rsidRDefault="008629CA" w:rsidP="008629CA">
      <w:r>
        <w:t>b) die rechtspersoonlijkheid bezit, en</w:t>
      </w:r>
    </w:p>
    <w:p w:rsidR="008629CA" w:rsidRDefault="008629CA" w:rsidP="008629CA">
      <w:r>
        <w:t>c) waarvan ofwel de activiteiten in hoofdzaak door de staat, de territoriale lichamen of andere publiekrechtelijke instellingen worden gefinancierd, ofwel het beheer onderworpen is aan toezicht door deze laatste, ofwel de leden van het bestuursorgaan, het leidinggevend of het toezichthoudend orgaan voor meer dan de helft door de staat, de territoriale lichamen of andere publiekrechtelijke instellingen zijn aangewezen.</w:t>
      </w:r>
    </w:p>
    <w:sectPr w:rsidR="00862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30F2"/>
    <w:multiLevelType w:val="hybridMultilevel"/>
    <w:tmpl w:val="034A8C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0B"/>
    <w:rsid w:val="0013615B"/>
    <w:rsid w:val="00155536"/>
    <w:rsid w:val="0018041A"/>
    <w:rsid w:val="004C5CA2"/>
    <w:rsid w:val="0061090B"/>
    <w:rsid w:val="00790D6C"/>
    <w:rsid w:val="008629CA"/>
    <w:rsid w:val="00A27C7D"/>
    <w:rsid w:val="00E25D4C"/>
    <w:rsid w:val="00F47179"/>
    <w:rsid w:val="00F6673B"/>
    <w:rsid w:val="00FB13B4"/>
    <w:rsid w:val="00FC1B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C6973-5B1F-4FF2-B080-B1282842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0D6C"/>
    <w:pPr>
      <w:ind w:left="720"/>
      <w:contextualSpacing/>
    </w:pPr>
  </w:style>
  <w:style w:type="character" w:styleId="Hyperlink">
    <w:name w:val="Hyperlink"/>
    <w:basedOn w:val="Standaardalinea-lettertype"/>
    <w:uiPriority w:val="99"/>
    <w:unhideWhenUsed/>
    <w:rsid w:val="00FB1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dab.be/cvs/kansengroepen.s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6955</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Broeck, Marjolein</dc:creator>
  <cp:lastModifiedBy>Gheerolfs Cindy</cp:lastModifiedBy>
  <cp:revision>2</cp:revision>
  <dcterms:created xsi:type="dcterms:W3CDTF">2016-10-27T10:51:00Z</dcterms:created>
  <dcterms:modified xsi:type="dcterms:W3CDTF">2016-10-27T10:51:00Z</dcterms:modified>
</cp:coreProperties>
</file>